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20" w:rsidRDefault="00057720" w:rsidP="002566BB">
      <w:pPr>
        <w:spacing w:after="0" w:line="240" w:lineRule="auto"/>
        <w:jc w:val="center"/>
        <w:rPr>
          <w:rFonts w:ascii="Times New Roman" w:hAnsi="Times New Roman" w:cs="Times New Roman"/>
          <w:b/>
          <w:sz w:val="28"/>
          <w:szCs w:val="28"/>
          <w:lang w:val="ro-RO"/>
        </w:rPr>
      </w:pPr>
    </w:p>
    <w:p w:rsidR="00C56046" w:rsidRDefault="00D059DB" w:rsidP="002566BB">
      <w:pPr>
        <w:spacing w:after="0" w:line="240" w:lineRule="auto"/>
        <w:jc w:val="center"/>
        <w:rPr>
          <w:rFonts w:ascii="Times New Roman" w:hAnsi="Times New Roman" w:cs="Times New Roman"/>
          <w:b/>
          <w:sz w:val="28"/>
          <w:szCs w:val="28"/>
          <w:lang w:val="ro-RO"/>
        </w:rPr>
      </w:pPr>
      <w:r w:rsidRPr="00914681">
        <w:rPr>
          <w:rFonts w:ascii="Times New Roman" w:hAnsi="Times New Roman" w:cs="Times New Roman"/>
          <w:b/>
          <w:sz w:val="28"/>
          <w:szCs w:val="28"/>
          <w:lang w:val="ro-RO"/>
        </w:rPr>
        <w:t xml:space="preserve">Studiu comparativ </w:t>
      </w:r>
      <w:r w:rsidR="004C1C59">
        <w:rPr>
          <w:rFonts w:ascii="Times New Roman" w:hAnsi="Times New Roman" w:cs="Times New Roman"/>
          <w:b/>
          <w:sz w:val="28"/>
          <w:szCs w:val="28"/>
          <w:lang w:val="ro-RO"/>
        </w:rPr>
        <w:t>privind</w:t>
      </w:r>
      <w:r w:rsidR="0087276B">
        <w:rPr>
          <w:rFonts w:ascii="Times New Roman" w:hAnsi="Times New Roman" w:cs="Times New Roman"/>
          <w:b/>
          <w:sz w:val="28"/>
          <w:szCs w:val="28"/>
          <w:lang w:val="ro-RO"/>
        </w:rPr>
        <w:t xml:space="preserve"> condițiile de înregistrare</w:t>
      </w:r>
    </w:p>
    <w:p w:rsidR="007045AC" w:rsidRDefault="004C1C59" w:rsidP="002566BB">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a candidaților </w:t>
      </w:r>
      <w:r w:rsidRPr="00914681">
        <w:rPr>
          <w:rFonts w:ascii="Times New Roman" w:hAnsi="Times New Roman" w:cs="Times New Roman"/>
          <w:b/>
          <w:sz w:val="28"/>
          <w:szCs w:val="28"/>
          <w:lang w:val="ro-RO"/>
        </w:rPr>
        <w:t xml:space="preserve">la alegerile </w:t>
      </w:r>
      <w:r>
        <w:rPr>
          <w:rFonts w:ascii="Times New Roman" w:hAnsi="Times New Roman" w:cs="Times New Roman"/>
          <w:b/>
          <w:sz w:val="28"/>
          <w:szCs w:val="28"/>
          <w:lang w:val="ro-RO"/>
        </w:rPr>
        <w:t>europarlamentare</w:t>
      </w:r>
    </w:p>
    <w:p w:rsidR="00F21763" w:rsidRDefault="00F21763" w:rsidP="002566BB">
      <w:pPr>
        <w:spacing w:after="0" w:line="240" w:lineRule="auto"/>
        <w:jc w:val="center"/>
        <w:rPr>
          <w:rFonts w:ascii="Times New Roman" w:hAnsi="Times New Roman" w:cs="Times New Roman"/>
          <w:i/>
          <w:sz w:val="28"/>
          <w:szCs w:val="28"/>
          <w:lang w:val="ro-RO"/>
        </w:rPr>
      </w:pPr>
    </w:p>
    <w:p w:rsidR="00BC0BC8" w:rsidRPr="00330BDA" w:rsidRDefault="006B130D" w:rsidP="002566BB">
      <w:pPr>
        <w:spacing w:after="0" w:line="240" w:lineRule="auto"/>
        <w:jc w:val="center"/>
        <w:rPr>
          <w:rFonts w:ascii="Times New Roman" w:hAnsi="Times New Roman" w:cs="Times New Roman"/>
          <w:i/>
          <w:sz w:val="28"/>
          <w:szCs w:val="28"/>
          <w:lang w:val="ro-RO"/>
        </w:rPr>
      </w:pPr>
      <w:r w:rsidRPr="00330BDA">
        <w:rPr>
          <w:rFonts w:ascii="Times New Roman" w:hAnsi="Times New Roman" w:cs="Times New Roman"/>
          <w:i/>
          <w:sz w:val="28"/>
          <w:szCs w:val="28"/>
          <w:lang w:val="ro-RO"/>
        </w:rPr>
        <w:t>Autor: Roberta-Manuela Ogaru</w:t>
      </w:r>
    </w:p>
    <w:p w:rsidR="00BC0BC8" w:rsidRDefault="00BC0BC8" w:rsidP="002566BB">
      <w:pPr>
        <w:spacing w:after="0" w:line="240" w:lineRule="auto"/>
        <w:jc w:val="center"/>
        <w:rPr>
          <w:rFonts w:ascii="Times New Roman" w:hAnsi="Times New Roman" w:cs="Times New Roman"/>
          <w:b/>
          <w:sz w:val="28"/>
          <w:szCs w:val="28"/>
          <w:lang w:val="ro-RO"/>
        </w:rPr>
      </w:pPr>
    </w:p>
    <w:p w:rsidR="007045AC" w:rsidRPr="00BC0BC8" w:rsidRDefault="007045AC" w:rsidP="002566BB">
      <w:pPr>
        <w:spacing w:after="0" w:line="240" w:lineRule="auto"/>
        <w:rPr>
          <w:rFonts w:ascii="Times New Roman" w:hAnsi="Times New Roman" w:cs="Times New Roman"/>
          <w:b/>
          <w:sz w:val="28"/>
          <w:szCs w:val="28"/>
          <w:lang w:val="ro-RO"/>
        </w:rPr>
      </w:pPr>
    </w:p>
    <w:p w:rsidR="00D059DB" w:rsidRDefault="000C4C06" w:rsidP="002566BB">
      <w:pPr>
        <w:spacing w:after="0" w:line="240" w:lineRule="auto"/>
        <w:rPr>
          <w:rFonts w:ascii="Times New Roman" w:hAnsi="Times New Roman" w:cs="Times New Roman"/>
          <w:b/>
          <w:sz w:val="24"/>
          <w:szCs w:val="24"/>
          <w:lang w:val="ro-RO"/>
        </w:rPr>
      </w:pPr>
      <w:r w:rsidRPr="00BC0BC8">
        <w:rPr>
          <w:rFonts w:ascii="Times New Roman" w:hAnsi="Times New Roman" w:cs="Times New Roman"/>
          <w:b/>
          <w:sz w:val="24"/>
          <w:szCs w:val="24"/>
          <w:lang w:val="ro-RO"/>
        </w:rPr>
        <w:t>Cuprins:</w:t>
      </w:r>
    </w:p>
    <w:p w:rsidR="00AE18CE" w:rsidRPr="00AE18CE" w:rsidRDefault="00AE18CE" w:rsidP="00AE18CE">
      <w:pPr>
        <w:pStyle w:val="ListParagraph"/>
        <w:numPr>
          <w:ilvl w:val="0"/>
          <w:numId w:val="1"/>
        </w:num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Introducere </w:t>
      </w:r>
    </w:p>
    <w:p w:rsidR="00D059DB" w:rsidRPr="00BC0BC8" w:rsidRDefault="00486B72" w:rsidP="002566BB">
      <w:pPr>
        <w:pStyle w:val="ListParagraph"/>
        <w:numPr>
          <w:ilvl w:val="0"/>
          <w:numId w:val="1"/>
        </w:numPr>
        <w:autoSpaceDE w:val="0"/>
        <w:autoSpaceDN w:val="0"/>
        <w:adjustRightInd w:val="0"/>
        <w:spacing w:after="0" w:line="240" w:lineRule="auto"/>
        <w:rPr>
          <w:rFonts w:ascii="Times New Roman" w:hAnsi="Times New Roman" w:cs="Times New Roman"/>
          <w:b/>
          <w:sz w:val="24"/>
          <w:szCs w:val="24"/>
          <w:lang w:val="ro-RO"/>
        </w:rPr>
      </w:pPr>
      <w:r w:rsidRPr="00BC0BC8">
        <w:rPr>
          <w:rFonts w:ascii="Times New Roman" w:hAnsi="Times New Roman" w:cs="Times New Roman"/>
          <w:b/>
          <w:sz w:val="24"/>
          <w:szCs w:val="24"/>
          <w:lang w:val="ro-RO"/>
        </w:rPr>
        <w:t>Câteva aspecte teoretice referitoare la condițiile de înscriere a candidaților la alegeri</w:t>
      </w:r>
    </w:p>
    <w:p w:rsidR="002E0F3A" w:rsidRPr="00BC0BC8" w:rsidRDefault="00486B72" w:rsidP="002566BB">
      <w:pPr>
        <w:pStyle w:val="ListParagraph"/>
        <w:numPr>
          <w:ilvl w:val="0"/>
          <w:numId w:val="1"/>
        </w:numPr>
        <w:spacing w:after="0" w:line="240" w:lineRule="auto"/>
        <w:rPr>
          <w:rFonts w:ascii="Times New Roman" w:hAnsi="Times New Roman" w:cs="Times New Roman"/>
          <w:b/>
          <w:sz w:val="24"/>
          <w:szCs w:val="24"/>
          <w:lang w:val="ro-RO"/>
        </w:rPr>
      </w:pPr>
      <w:r w:rsidRPr="00BC0BC8">
        <w:rPr>
          <w:rFonts w:ascii="Times New Roman" w:hAnsi="Times New Roman" w:cs="Times New Roman"/>
          <w:b/>
          <w:sz w:val="24"/>
          <w:szCs w:val="24"/>
          <w:lang w:val="ro-RO"/>
        </w:rPr>
        <w:t>Cadrul legal</w:t>
      </w:r>
      <w:r w:rsidR="000E225B" w:rsidRPr="00BC0BC8">
        <w:rPr>
          <w:rFonts w:ascii="Times New Roman" w:hAnsi="Times New Roman" w:cs="Times New Roman"/>
          <w:b/>
          <w:sz w:val="24"/>
          <w:szCs w:val="24"/>
          <w:lang w:val="ro-RO"/>
        </w:rPr>
        <w:t>, așa cum este</w:t>
      </w:r>
      <w:r w:rsidRPr="00BC0BC8">
        <w:rPr>
          <w:rFonts w:ascii="Times New Roman" w:hAnsi="Times New Roman" w:cs="Times New Roman"/>
          <w:b/>
          <w:sz w:val="24"/>
          <w:szCs w:val="24"/>
          <w:lang w:val="ro-RO"/>
        </w:rPr>
        <w:t xml:space="preserve"> reglementat de Uniunea Europeană</w:t>
      </w:r>
    </w:p>
    <w:p w:rsidR="00241750" w:rsidRPr="00BC0BC8" w:rsidRDefault="002036EB" w:rsidP="002566BB">
      <w:pPr>
        <w:pStyle w:val="ListParagraph"/>
        <w:numPr>
          <w:ilvl w:val="0"/>
          <w:numId w:val="1"/>
        </w:numPr>
        <w:spacing w:after="0" w:line="240" w:lineRule="auto"/>
        <w:rPr>
          <w:rFonts w:ascii="Times New Roman" w:hAnsi="Times New Roman" w:cs="Times New Roman"/>
          <w:b/>
          <w:sz w:val="24"/>
          <w:szCs w:val="24"/>
          <w:lang w:val="ro-RO"/>
        </w:rPr>
      </w:pPr>
      <w:r w:rsidRPr="00BC0BC8">
        <w:rPr>
          <w:rFonts w:ascii="Times New Roman" w:hAnsi="Times New Roman" w:cs="Times New Roman"/>
          <w:b/>
          <w:sz w:val="24"/>
          <w:szCs w:val="24"/>
          <w:lang w:val="ro-RO"/>
        </w:rPr>
        <w:t xml:space="preserve">Analiza </w:t>
      </w:r>
      <w:r w:rsidR="00241750" w:rsidRPr="00BC0BC8">
        <w:rPr>
          <w:rFonts w:ascii="Times New Roman" w:hAnsi="Times New Roman" w:cs="Times New Roman"/>
          <w:b/>
          <w:sz w:val="24"/>
          <w:szCs w:val="24"/>
          <w:lang w:val="ro-RO"/>
        </w:rPr>
        <w:t>comparativă a condițiilor de înscriere a candidaților pentru alegerile europarlamentare</w:t>
      </w:r>
      <w:r w:rsidR="001026B9">
        <w:rPr>
          <w:rFonts w:ascii="Times New Roman" w:hAnsi="Times New Roman" w:cs="Times New Roman"/>
          <w:b/>
          <w:sz w:val="24"/>
          <w:szCs w:val="24"/>
          <w:lang w:val="ro-RO"/>
        </w:rPr>
        <w:t xml:space="preserve"> din</w:t>
      </w:r>
      <w:r w:rsidR="008A582C">
        <w:rPr>
          <w:rFonts w:ascii="Times New Roman" w:hAnsi="Times New Roman" w:cs="Times New Roman"/>
          <w:b/>
          <w:sz w:val="24"/>
          <w:szCs w:val="24"/>
          <w:lang w:val="ro-RO"/>
        </w:rPr>
        <w:t xml:space="preserve"> toate țările UE (excluzând Marea Britanie)</w:t>
      </w:r>
    </w:p>
    <w:p w:rsidR="00033F01" w:rsidRPr="00033F01" w:rsidRDefault="00033F01" w:rsidP="00033F01">
      <w:pPr>
        <w:pStyle w:val="ListParagraph"/>
        <w:numPr>
          <w:ilvl w:val="0"/>
          <w:numId w:val="1"/>
        </w:numPr>
        <w:spacing w:after="0" w:line="240" w:lineRule="auto"/>
        <w:rPr>
          <w:rFonts w:ascii="Times New Roman" w:hAnsi="Times New Roman" w:cs="Times New Roman"/>
          <w:b/>
          <w:sz w:val="24"/>
          <w:szCs w:val="24"/>
          <w:lang w:val="ro-RO"/>
        </w:rPr>
      </w:pPr>
      <w:r w:rsidRPr="00033F01">
        <w:rPr>
          <w:rFonts w:ascii="Times New Roman" w:hAnsi="Times New Roman" w:cs="Times New Roman"/>
          <w:b/>
          <w:sz w:val="24"/>
          <w:szCs w:val="24"/>
          <w:lang w:val="ro-RO"/>
        </w:rPr>
        <w:t>Logica avută în vedere de legiutorii români în stabilirea condițiilor de acces a candidaților la buletinul de vot</w:t>
      </w:r>
    </w:p>
    <w:p w:rsidR="00CC651E" w:rsidRDefault="009246A9" w:rsidP="00CC651E">
      <w:pPr>
        <w:pStyle w:val="ListParagraph"/>
        <w:numPr>
          <w:ilvl w:val="0"/>
          <w:numId w:val="1"/>
        </w:num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Decizii </w:t>
      </w:r>
      <w:r w:rsidR="00731BEF">
        <w:rPr>
          <w:rFonts w:ascii="Times New Roman" w:hAnsi="Times New Roman" w:cs="Times New Roman"/>
          <w:b/>
          <w:sz w:val="24"/>
          <w:szCs w:val="24"/>
          <w:lang w:val="ro-RO"/>
        </w:rPr>
        <w:t>a</w:t>
      </w:r>
      <w:bookmarkStart w:id="0" w:name="_GoBack"/>
      <w:bookmarkEnd w:id="0"/>
      <w:r w:rsidR="00731BEF">
        <w:rPr>
          <w:rFonts w:ascii="Times New Roman" w:hAnsi="Times New Roman" w:cs="Times New Roman"/>
          <w:b/>
          <w:sz w:val="24"/>
          <w:szCs w:val="24"/>
          <w:lang w:val="ro-RO"/>
        </w:rPr>
        <w:t xml:space="preserve">le </w:t>
      </w:r>
      <w:r w:rsidR="00ED2A97" w:rsidRPr="009F6BC9">
        <w:rPr>
          <w:rFonts w:ascii="Times New Roman" w:hAnsi="Times New Roman" w:cs="Times New Roman"/>
          <w:b/>
          <w:sz w:val="24"/>
          <w:szCs w:val="24"/>
          <w:lang w:val="ro-RO"/>
        </w:rPr>
        <w:t>C</w:t>
      </w:r>
      <w:r w:rsidR="00A551C2">
        <w:rPr>
          <w:rFonts w:ascii="Times New Roman" w:hAnsi="Times New Roman" w:cs="Times New Roman"/>
          <w:b/>
          <w:sz w:val="24"/>
          <w:szCs w:val="24"/>
          <w:lang w:val="ro-RO"/>
        </w:rPr>
        <w:t xml:space="preserve">urții </w:t>
      </w:r>
      <w:r w:rsidR="00ED2A97" w:rsidRPr="009F6BC9">
        <w:rPr>
          <w:rFonts w:ascii="Times New Roman" w:hAnsi="Times New Roman" w:cs="Times New Roman"/>
          <w:b/>
          <w:sz w:val="24"/>
          <w:szCs w:val="24"/>
          <w:lang w:val="ro-RO"/>
        </w:rPr>
        <w:t>C</w:t>
      </w:r>
      <w:r w:rsidR="00A551C2">
        <w:rPr>
          <w:rFonts w:ascii="Times New Roman" w:hAnsi="Times New Roman" w:cs="Times New Roman"/>
          <w:b/>
          <w:sz w:val="24"/>
          <w:szCs w:val="24"/>
          <w:lang w:val="ro-RO"/>
        </w:rPr>
        <w:t xml:space="preserve">onstituționale a </w:t>
      </w:r>
      <w:r w:rsidR="00ED2A97" w:rsidRPr="009F6BC9">
        <w:rPr>
          <w:rFonts w:ascii="Times New Roman" w:hAnsi="Times New Roman" w:cs="Times New Roman"/>
          <w:b/>
          <w:sz w:val="24"/>
          <w:szCs w:val="24"/>
          <w:lang w:val="ro-RO"/>
        </w:rPr>
        <w:t>R</w:t>
      </w:r>
      <w:r w:rsidR="00A551C2">
        <w:rPr>
          <w:rFonts w:ascii="Times New Roman" w:hAnsi="Times New Roman" w:cs="Times New Roman"/>
          <w:b/>
          <w:sz w:val="24"/>
          <w:szCs w:val="24"/>
          <w:lang w:val="ro-RO"/>
        </w:rPr>
        <w:t xml:space="preserve">omâniei </w:t>
      </w:r>
    </w:p>
    <w:p w:rsidR="00CC651E" w:rsidRPr="00CC651E" w:rsidRDefault="00CC651E" w:rsidP="00CC651E">
      <w:pPr>
        <w:pStyle w:val="ListParagraph"/>
        <w:numPr>
          <w:ilvl w:val="0"/>
          <w:numId w:val="1"/>
        </w:numPr>
        <w:spacing w:after="0" w:line="240" w:lineRule="auto"/>
        <w:rPr>
          <w:rFonts w:ascii="Times New Roman" w:hAnsi="Times New Roman" w:cs="Times New Roman"/>
          <w:b/>
          <w:sz w:val="24"/>
          <w:szCs w:val="24"/>
          <w:lang w:val="ro-RO"/>
        </w:rPr>
      </w:pPr>
      <w:r w:rsidRPr="00CC651E">
        <w:rPr>
          <w:rFonts w:ascii="Times New Roman" w:hAnsi="Times New Roman" w:cs="Times New Roman"/>
          <w:b/>
          <w:bCs/>
          <w:sz w:val="24"/>
          <w:szCs w:val="24"/>
          <w:lang w:val="ro-RO"/>
        </w:rPr>
        <w:t>Condițiile de înregistrare a candidaților la alegerile din România după 1990</w:t>
      </w:r>
    </w:p>
    <w:p w:rsidR="00C330B0" w:rsidRDefault="005D648F" w:rsidP="002566BB">
      <w:pPr>
        <w:pStyle w:val="ListParagraph"/>
        <w:numPr>
          <w:ilvl w:val="0"/>
          <w:numId w:val="1"/>
        </w:num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Concluzii</w:t>
      </w:r>
    </w:p>
    <w:p w:rsidR="00E70066" w:rsidRDefault="00E70066" w:rsidP="00E70066">
      <w:pPr>
        <w:spacing w:after="0" w:line="240" w:lineRule="auto"/>
        <w:rPr>
          <w:rFonts w:ascii="Times New Roman" w:hAnsi="Times New Roman" w:cs="Times New Roman"/>
          <w:b/>
          <w:sz w:val="24"/>
          <w:szCs w:val="24"/>
          <w:lang w:val="ro-RO"/>
        </w:rPr>
      </w:pPr>
    </w:p>
    <w:p w:rsidR="003C0710" w:rsidRDefault="003C0710" w:rsidP="00E70066">
      <w:pPr>
        <w:spacing w:after="0" w:line="240" w:lineRule="auto"/>
        <w:rPr>
          <w:rFonts w:ascii="Times New Roman" w:hAnsi="Times New Roman" w:cs="Times New Roman"/>
          <w:b/>
          <w:sz w:val="24"/>
          <w:szCs w:val="24"/>
          <w:lang w:val="ro-RO"/>
        </w:rPr>
      </w:pPr>
    </w:p>
    <w:p w:rsidR="003C0710" w:rsidRDefault="003C0710" w:rsidP="00E70066">
      <w:pPr>
        <w:spacing w:after="0" w:line="240" w:lineRule="auto"/>
        <w:rPr>
          <w:rFonts w:ascii="Times New Roman" w:hAnsi="Times New Roman" w:cs="Times New Roman"/>
          <w:b/>
          <w:sz w:val="24"/>
          <w:szCs w:val="24"/>
          <w:lang w:val="ro-RO"/>
        </w:rPr>
      </w:pPr>
    </w:p>
    <w:p w:rsidR="00E70066" w:rsidRDefault="00E70066" w:rsidP="00A4785A">
      <w:pPr>
        <w:pStyle w:val="ListParagraph"/>
        <w:numPr>
          <w:ilvl w:val="0"/>
          <w:numId w:val="9"/>
        </w:numPr>
        <w:spacing w:after="0" w:line="240" w:lineRule="auto"/>
        <w:rPr>
          <w:rFonts w:ascii="Times New Roman" w:hAnsi="Times New Roman" w:cs="Times New Roman"/>
          <w:b/>
          <w:sz w:val="24"/>
          <w:szCs w:val="24"/>
          <w:lang w:val="ro-RO"/>
        </w:rPr>
      </w:pPr>
      <w:r w:rsidRPr="00A4785A">
        <w:rPr>
          <w:rFonts w:ascii="Times New Roman" w:hAnsi="Times New Roman" w:cs="Times New Roman"/>
          <w:b/>
          <w:sz w:val="24"/>
          <w:szCs w:val="24"/>
          <w:lang w:val="ro-RO"/>
        </w:rPr>
        <w:t>Introducere</w:t>
      </w:r>
    </w:p>
    <w:p w:rsidR="006D02E1" w:rsidRPr="00A4785A" w:rsidRDefault="006D02E1" w:rsidP="006D02E1">
      <w:pPr>
        <w:pStyle w:val="ListParagraph"/>
        <w:spacing w:after="0" w:line="240" w:lineRule="auto"/>
        <w:rPr>
          <w:rFonts w:ascii="Times New Roman" w:hAnsi="Times New Roman" w:cs="Times New Roman"/>
          <w:b/>
          <w:sz w:val="24"/>
          <w:szCs w:val="24"/>
          <w:lang w:val="ro-RO"/>
        </w:rPr>
      </w:pPr>
    </w:p>
    <w:p w:rsidR="00E70066" w:rsidRPr="005B0FD8" w:rsidRDefault="00E70066" w:rsidP="007936C4">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Studiul de față</w:t>
      </w:r>
      <w:r w:rsidR="00D57AD1">
        <w:rPr>
          <w:rFonts w:ascii="Times New Roman" w:hAnsi="Times New Roman" w:cs="Times New Roman"/>
          <w:sz w:val="24"/>
          <w:szCs w:val="24"/>
          <w:lang w:val="ro-RO"/>
        </w:rPr>
        <w:t xml:space="preserve"> a plecat de la obse</w:t>
      </w:r>
      <w:r w:rsidR="008C6E5A">
        <w:rPr>
          <w:rFonts w:ascii="Times New Roman" w:hAnsi="Times New Roman" w:cs="Times New Roman"/>
          <w:sz w:val="24"/>
          <w:szCs w:val="24"/>
          <w:lang w:val="ro-RO"/>
        </w:rPr>
        <w:t xml:space="preserve">rvația empirică, fără a fi </w:t>
      </w:r>
      <w:r w:rsidR="00F64E90">
        <w:rPr>
          <w:rFonts w:ascii="Times New Roman" w:hAnsi="Times New Roman" w:cs="Times New Roman"/>
          <w:sz w:val="24"/>
          <w:szCs w:val="24"/>
          <w:lang w:val="ro-RO"/>
        </w:rPr>
        <w:t xml:space="preserve">încă </w:t>
      </w:r>
      <w:r w:rsidR="00D57AD1">
        <w:rPr>
          <w:rFonts w:ascii="Times New Roman" w:hAnsi="Times New Roman" w:cs="Times New Roman"/>
          <w:sz w:val="24"/>
          <w:szCs w:val="24"/>
          <w:lang w:val="ro-RO"/>
        </w:rPr>
        <w:t xml:space="preserve">dovedită, că România solicită candidaților la alegerile europarlamentare </w:t>
      </w:r>
      <w:r w:rsidR="000A097D">
        <w:rPr>
          <w:rFonts w:ascii="Times New Roman" w:hAnsi="Times New Roman" w:cs="Times New Roman"/>
          <w:sz w:val="24"/>
          <w:szCs w:val="24"/>
          <w:lang w:val="ro-RO"/>
        </w:rPr>
        <w:t>să în</w:t>
      </w:r>
      <w:r w:rsidR="009978E1">
        <w:rPr>
          <w:rFonts w:ascii="Times New Roman" w:hAnsi="Times New Roman" w:cs="Times New Roman"/>
          <w:sz w:val="24"/>
          <w:szCs w:val="24"/>
          <w:lang w:val="ro-RO"/>
        </w:rPr>
        <w:t>deplinească dintre cele mai gre</w:t>
      </w:r>
      <w:r w:rsidR="0053455A">
        <w:rPr>
          <w:rFonts w:ascii="Times New Roman" w:hAnsi="Times New Roman" w:cs="Times New Roman"/>
          <w:sz w:val="24"/>
          <w:szCs w:val="24"/>
          <w:lang w:val="ro-RO"/>
        </w:rPr>
        <w:t xml:space="preserve">u </w:t>
      </w:r>
      <w:r w:rsidR="005277DF">
        <w:rPr>
          <w:rFonts w:ascii="Times New Roman" w:hAnsi="Times New Roman" w:cs="Times New Roman"/>
          <w:sz w:val="24"/>
          <w:szCs w:val="24"/>
          <w:lang w:val="ro-RO"/>
        </w:rPr>
        <w:t>de îndeplinit condiții de înregistrare din Uniunea Europeană</w:t>
      </w:r>
      <w:r w:rsidR="0017667A">
        <w:rPr>
          <w:rFonts w:ascii="Times New Roman" w:hAnsi="Times New Roman" w:cs="Times New Roman"/>
          <w:sz w:val="24"/>
          <w:szCs w:val="24"/>
          <w:lang w:val="ro-RO"/>
        </w:rPr>
        <w:t xml:space="preserve">. </w:t>
      </w:r>
      <w:r w:rsidR="00BD7D86">
        <w:rPr>
          <w:rFonts w:ascii="Times New Roman" w:hAnsi="Times New Roman" w:cs="Times New Roman"/>
          <w:sz w:val="24"/>
          <w:szCs w:val="24"/>
          <w:lang w:val="ro-RO"/>
        </w:rPr>
        <w:t xml:space="preserve">Analiza </w:t>
      </w:r>
      <w:r w:rsidR="00BB5076">
        <w:rPr>
          <w:rFonts w:ascii="Times New Roman" w:hAnsi="Times New Roman" w:cs="Times New Roman"/>
          <w:sz w:val="24"/>
          <w:szCs w:val="24"/>
          <w:lang w:val="ro-RO"/>
        </w:rPr>
        <w:t>intenționea</w:t>
      </w:r>
      <w:r w:rsidR="00380768">
        <w:rPr>
          <w:rFonts w:ascii="Times New Roman" w:hAnsi="Times New Roman" w:cs="Times New Roman"/>
          <w:sz w:val="24"/>
          <w:szCs w:val="24"/>
          <w:lang w:val="ro-RO"/>
        </w:rPr>
        <w:t xml:space="preserve">ză </w:t>
      </w:r>
      <w:r w:rsidRPr="005B0FD8">
        <w:rPr>
          <w:rFonts w:ascii="Times New Roman" w:hAnsi="Times New Roman" w:cs="Times New Roman"/>
          <w:sz w:val="24"/>
          <w:szCs w:val="24"/>
          <w:lang w:val="ro-RO"/>
        </w:rPr>
        <w:t>s</w:t>
      </w:r>
      <w:r w:rsidR="0059794B">
        <w:rPr>
          <w:rFonts w:ascii="Times New Roman" w:hAnsi="Times New Roman" w:cs="Times New Roman"/>
          <w:sz w:val="24"/>
          <w:szCs w:val="24"/>
          <w:lang w:val="ro-RO"/>
        </w:rPr>
        <w:t>ă</w:t>
      </w:r>
      <w:r w:rsidRPr="005B0FD8">
        <w:rPr>
          <w:rFonts w:ascii="Times New Roman" w:hAnsi="Times New Roman" w:cs="Times New Roman"/>
          <w:sz w:val="24"/>
          <w:szCs w:val="24"/>
          <w:lang w:val="ro-RO"/>
        </w:rPr>
        <w:t xml:space="preserve"> răspundă la următoarele întrebări: </w:t>
      </w:r>
      <w:r w:rsidR="003225C7">
        <w:rPr>
          <w:rFonts w:ascii="Times New Roman" w:hAnsi="Times New Roman" w:cs="Times New Roman"/>
          <w:sz w:val="24"/>
          <w:szCs w:val="24"/>
          <w:lang w:val="ro-RO"/>
        </w:rPr>
        <w:t>c</w:t>
      </w:r>
      <w:r w:rsidRPr="005B0FD8">
        <w:rPr>
          <w:rFonts w:ascii="Times New Roman" w:hAnsi="Times New Roman" w:cs="Times New Roman"/>
          <w:sz w:val="24"/>
          <w:szCs w:val="24"/>
          <w:lang w:val="ro-RO"/>
        </w:rPr>
        <w:t xml:space="preserve">are este țara cu condițiile cele </w:t>
      </w:r>
      <w:r w:rsidR="003225C7">
        <w:rPr>
          <w:rFonts w:ascii="Times New Roman" w:hAnsi="Times New Roman" w:cs="Times New Roman"/>
          <w:sz w:val="24"/>
          <w:szCs w:val="24"/>
          <w:lang w:val="ro-RO"/>
        </w:rPr>
        <w:t>mai dificile de acces la alegeri</w:t>
      </w:r>
      <w:r w:rsidR="00CC65B1">
        <w:rPr>
          <w:rFonts w:ascii="Times New Roman" w:hAnsi="Times New Roman" w:cs="Times New Roman"/>
          <w:sz w:val="24"/>
          <w:szCs w:val="24"/>
          <w:lang w:val="ro-RO"/>
        </w:rPr>
        <w:t>le europarlamentare</w:t>
      </w:r>
      <w:r w:rsidRPr="005B0FD8">
        <w:rPr>
          <w:rFonts w:ascii="Times New Roman" w:hAnsi="Times New Roman" w:cs="Times New Roman"/>
          <w:sz w:val="24"/>
          <w:szCs w:val="24"/>
          <w:lang w:val="ro-RO"/>
        </w:rPr>
        <w:t xml:space="preserve"> dintre țările UE?</w:t>
      </w:r>
      <w:r w:rsidR="003225C7">
        <w:rPr>
          <w:rFonts w:ascii="Times New Roman" w:hAnsi="Times New Roman" w:cs="Times New Roman"/>
          <w:sz w:val="24"/>
          <w:szCs w:val="24"/>
          <w:lang w:val="ro-RO"/>
        </w:rPr>
        <w:t xml:space="preserve"> </w:t>
      </w:r>
      <w:r w:rsidR="009A1075">
        <w:rPr>
          <w:rFonts w:ascii="Times New Roman" w:hAnsi="Times New Roman" w:cs="Times New Roman"/>
          <w:sz w:val="24"/>
          <w:szCs w:val="24"/>
          <w:lang w:val="ro-RO"/>
        </w:rPr>
        <w:t>c</w:t>
      </w:r>
      <w:r w:rsidR="009A1075" w:rsidRPr="005B0FD8">
        <w:rPr>
          <w:rFonts w:ascii="Times New Roman" w:hAnsi="Times New Roman" w:cs="Times New Roman"/>
          <w:sz w:val="24"/>
          <w:szCs w:val="24"/>
          <w:lang w:val="ro-RO"/>
        </w:rPr>
        <w:t>e poziție are România în acest clasament?</w:t>
      </w:r>
      <w:r w:rsidR="009A1075">
        <w:rPr>
          <w:rFonts w:ascii="Times New Roman" w:hAnsi="Times New Roman" w:cs="Times New Roman"/>
          <w:sz w:val="24"/>
          <w:szCs w:val="24"/>
          <w:lang w:val="ro-RO"/>
        </w:rPr>
        <w:t xml:space="preserve"> </w:t>
      </w:r>
      <w:r w:rsidR="003225C7">
        <w:rPr>
          <w:rFonts w:ascii="Times New Roman" w:hAnsi="Times New Roman" w:cs="Times New Roman"/>
          <w:sz w:val="24"/>
          <w:szCs w:val="24"/>
          <w:lang w:val="ro-RO"/>
        </w:rPr>
        <w:t>c</w:t>
      </w:r>
      <w:r w:rsidR="007F72E8">
        <w:rPr>
          <w:rFonts w:ascii="Times New Roman" w:hAnsi="Times New Roman" w:cs="Times New Roman"/>
          <w:sz w:val="24"/>
          <w:szCs w:val="24"/>
          <w:lang w:val="ro-RO"/>
        </w:rPr>
        <w:t>are este statul</w:t>
      </w:r>
      <w:r w:rsidR="00634DE1">
        <w:rPr>
          <w:rFonts w:ascii="Times New Roman" w:hAnsi="Times New Roman" w:cs="Times New Roman"/>
          <w:sz w:val="24"/>
          <w:szCs w:val="24"/>
          <w:lang w:val="ro-RO"/>
        </w:rPr>
        <w:t xml:space="preserve"> având</w:t>
      </w:r>
      <w:r w:rsidRPr="005B0FD8">
        <w:rPr>
          <w:rFonts w:ascii="Times New Roman" w:hAnsi="Times New Roman" w:cs="Times New Roman"/>
          <w:sz w:val="24"/>
          <w:szCs w:val="24"/>
          <w:lang w:val="ro-RO"/>
        </w:rPr>
        <w:t xml:space="preserve"> condițiile cele mai facile de acces la</w:t>
      </w:r>
      <w:r w:rsidR="00FF0C90">
        <w:rPr>
          <w:rFonts w:ascii="Times New Roman" w:hAnsi="Times New Roman" w:cs="Times New Roman"/>
          <w:sz w:val="24"/>
          <w:szCs w:val="24"/>
          <w:lang w:val="ro-RO"/>
        </w:rPr>
        <w:t xml:space="preserve"> </w:t>
      </w:r>
      <w:r w:rsidR="0053455A">
        <w:rPr>
          <w:rFonts w:ascii="Times New Roman" w:hAnsi="Times New Roman" w:cs="Times New Roman"/>
          <w:sz w:val="24"/>
          <w:szCs w:val="24"/>
          <w:lang w:val="ro-RO"/>
        </w:rPr>
        <w:t xml:space="preserve">buletinul de vot </w:t>
      </w:r>
      <w:r w:rsidRPr="005B0FD8">
        <w:rPr>
          <w:rFonts w:ascii="Times New Roman" w:hAnsi="Times New Roman" w:cs="Times New Roman"/>
          <w:sz w:val="24"/>
          <w:szCs w:val="24"/>
          <w:lang w:val="ro-RO"/>
        </w:rPr>
        <w:t>dintre țările UE la alegerile pentru P</w:t>
      </w:r>
      <w:r w:rsidR="007F72E8">
        <w:rPr>
          <w:rFonts w:ascii="Times New Roman" w:hAnsi="Times New Roman" w:cs="Times New Roman"/>
          <w:sz w:val="24"/>
          <w:szCs w:val="24"/>
          <w:lang w:val="ro-RO"/>
        </w:rPr>
        <w:t xml:space="preserve">arlamentul </w:t>
      </w:r>
      <w:r w:rsidRPr="005B0FD8">
        <w:rPr>
          <w:rFonts w:ascii="Times New Roman" w:hAnsi="Times New Roman" w:cs="Times New Roman"/>
          <w:sz w:val="24"/>
          <w:szCs w:val="24"/>
          <w:lang w:val="ro-RO"/>
        </w:rPr>
        <w:t>E</w:t>
      </w:r>
      <w:r w:rsidR="007F72E8">
        <w:rPr>
          <w:rFonts w:ascii="Times New Roman" w:hAnsi="Times New Roman" w:cs="Times New Roman"/>
          <w:sz w:val="24"/>
          <w:szCs w:val="24"/>
          <w:lang w:val="ro-RO"/>
        </w:rPr>
        <w:t>uropean (PE)</w:t>
      </w:r>
      <w:r w:rsidRPr="005B0FD8">
        <w:rPr>
          <w:rFonts w:ascii="Times New Roman" w:hAnsi="Times New Roman" w:cs="Times New Roman"/>
          <w:sz w:val="24"/>
          <w:szCs w:val="24"/>
          <w:lang w:val="ro-RO"/>
        </w:rPr>
        <w:t>?</w:t>
      </w:r>
      <w:r w:rsidR="0027686E">
        <w:rPr>
          <w:rFonts w:ascii="Times New Roman" w:hAnsi="Times New Roman" w:cs="Times New Roman"/>
          <w:sz w:val="24"/>
          <w:szCs w:val="24"/>
          <w:lang w:val="ro-RO"/>
        </w:rPr>
        <w:t xml:space="preserve"> </w:t>
      </w:r>
      <w:r w:rsidR="006C2141">
        <w:rPr>
          <w:rFonts w:ascii="Times New Roman" w:hAnsi="Times New Roman" w:cs="Times New Roman"/>
          <w:sz w:val="24"/>
          <w:szCs w:val="24"/>
          <w:lang w:val="ro-RO"/>
        </w:rPr>
        <w:t>e</w:t>
      </w:r>
      <w:r w:rsidRPr="0027686E">
        <w:rPr>
          <w:rFonts w:ascii="Times New Roman" w:hAnsi="Times New Roman" w:cs="Times New Roman"/>
          <w:sz w:val="24"/>
          <w:szCs w:val="24"/>
          <w:lang w:val="ro-RO"/>
        </w:rPr>
        <w:t>xistă niște modele</w:t>
      </w:r>
      <w:r w:rsidR="0053455A">
        <w:rPr>
          <w:rFonts w:ascii="Times New Roman" w:hAnsi="Times New Roman" w:cs="Times New Roman"/>
          <w:sz w:val="24"/>
          <w:szCs w:val="24"/>
          <w:lang w:val="ro-RO"/>
        </w:rPr>
        <w:t xml:space="preserve"> europene de înregistrare a candidaților</w:t>
      </w:r>
      <w:r w:rsidRPr="0027686E">
        <w:rPr>
          <w:rFonts w:ascii="Times New Roman" w:hAnsi="Times New Roman" w:cs="Times New Roman"/>
          <w:sz w:val="24"/>
          <w:szCs w:val="24"/>
          <w:lang w:val="ro-RO"/>
        </w:rPr>
        <w:t>?</w:t>
      </w:r>
      <w:r w:rsidR="006C2141">
        <w:rPr>
          <w:rFonts w:ascii="Times New Roman" w:hAnsi="Times New Roman" w:cs="Times New Roman"/>
          <w:sz w:val="24"/>
          <w:szCs w:val="24"/>
          <w:lang w:val="ro-RO"/>
        </w:rPr>
        <w:t xml:space="preserve"> cum ar putea fi îmbunătățită legislația </w:t>
      </w:r>
      <w:r w:rsidR="00A71A92">
        <w:rPr>
          <w:rFonts w:ascii="Times New Roman" w:hAnsi="Times New Roman" w:cs="Times New Roman"/>
          <w:sz w:val="24"/>
          <w:szCs w:val="24"/>
          <w:lang w:val="ro-RO"/>
        </w:rPr>
        <w:t xml:space="preserve">în acest sens </w:t>
      </w:r>
      <w:r w:rsidR="006C2141">
        <w:rPr>
          <w:rFonts w:ascii="Times New Roman" w:hAnsi="Times New Roman" w:cs="Times New Roman"/>
          <w:sz w:val="24"/>
          <w:szCs w:val="24"/>
          <w:lang w:val="ro-RO"/>
        </w:rPr>
        <w:t>din România?</w:t>
      </w:r>
      <w:r w:rsidR="000C0AB5">
        <w:rPr>
          <w:rFonts w:ascii="Times New Roman" w:hAnsi="Times New Roman" w:cs="Times New Roman"/>
          <w:sz w:val="24"/>
          <w:szCs w:val="24"/>
          <w:lang w:val="ro-RO"/>
        </w:rPr>
        <w:t xml:space="preserve"> Ca urmare, studiul își propune să cunoască și să se inspire, ca urmare a acestei cunoașteri, din legislația democrațiilor consolidate, </w:t>
      </w:r>
      <w:r w:rsidR="000F5C8E">
        <w:rPr>
          <w:rFonts w:ascii="Times New Roman" w:hAnsi="Times New Roman" w:cs="Times New Roman"/>
          <w:sz w:val="24"/>
          <w:szCs w:val="24"/>
          <w:lang w:val="ro-RO"/>
        </w:rPr>
        <w:t>vechi, ale Europei, pentru a ameliora</w:t>
      </w:r>
      <w:r w:rsidR="00966D44">
        <w:rPr>
          <w:rFonts w:ascii="Times New Roman" w:hAnsi="Times New Roman" w:cs="Times New Roman"/>
          <w:sz w:val="24"/>
          <w:szCs w:val="24"/>
          <w:lang w:val="ro-RO"/>
        </w:rPr>
        <w:t>,</w:t>
      </w:r>
      <w:r w:rsidR="000F5C8E">
        <w:rPr>
          <w:rFonts w:ascii="Times New Roman" w:hAnsi="Times New Roman" w:cs="Times New Roman"/>
          <w:sz w:val="24"/>
          <w:szCs w:val="24"/>
          <w:lang w:val="ro-RO"/>
        </w:rPr>
        <w:t xml:space="preserve"> legislația din România. </w:t>
      </w:r>
    </w:p>
    <w:p w:rsidR="00E70066" w:rsidRPr="00E70066" w:rsidRDefault="00E70066" w:rsidP="00E70066">
      <w:pPr>
        <w:spacing w:after="0" w:line="240" w:lineRule="auto"/>
        <w:rPr>
          <w:rFonts w:ascii="Times New Roman" w:hAnsi="Times New Roman" w:cs="Times New Roman"/>
          <w:b/>
          <w:sz w:val="24"/>
          <w:szCs w:val="24"/>
          <w:lang w:val="ro-RO"/>
        </w:rPr>
      </w:pPr>
    </w:p>
    <w:p w:rsidR="00C330B0" w:rsidRDefault="008235C6" w:rsidP="006D02E1">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lang w:val="ro-RO"/>
        </w:rPr>
      </w:pPr>
      <w:r w:rsidRPr="00B01C21">
        <w:rPr>
          <w:rFonts w:ascii="Times New Roman" w:hAnsi="Times New Roman" w:cs="Times New Roman"/>
          <w:b/>
          <w:sz w:val="24"/>
          <w:szCs w:val="24"/>
          <w:lang w:val="ro-RO"/>
        </w:rPr>
        <w:t>Câteva aspecte teoretice referitoare la condițiile de înscriere</w:t>
      </w:r>
      <w:r w:rsidR="00561754" w:rsidRPr="00B01C21">
        <w:rPr>
          <w:rFonts w:ascii="Times New Roman" w:hAnsi="Times New Roman" w:cs="Times New Roman"/>
          <w:b/>
          <w:sz w:val="24"/>
          <w:szCs w:val="24"/>
          <w:lang w:val="ro-RO"/>
        </w:rPr>
        <w:t xml:space="preserve"> a candidaților</w:t>
      </w:r>
      <w:r w:rsidRPr="00B01C21">
        <w:rPr>
          <w:rFonts w:ascii="Times New Roman" w:hAnsi="Times New Roman" w:cs="Times New Roman"/>
          <w:b/>
          <w:sz w:val="24"/>
          <w:szCs w:val="24"/>
          <w:lang w:val="ro-RO"/>
        </w:rPr>
        <w:t xml:space="preserve"> la alegeri</w:t>
      </w:r>
    </w:p>
    <w:p w:rsidR="006D02E1" w:rsidRPr="00B01C21" w:rsidRDefault="006D02E1" w:rsidP="006D02E1">
      <w:pPr>
        <w:pStyle w:val="ListParagraph"/>
        <w:autoSpaceDE w:val="0"/>
        <w:autoSpaceDN w:val="0"/>
        <w:adjustRightInd w:val="0"/>
        <w:spacing w:after="0" w:line="240" w:lineRule="auto"/>
        <w:jc w:val="both"/>
        <w:rPr>
          <w:rFonts w:ascii="Times New Roman" w:hAnsi="Times New Roman" w:cs="Times New Roman"/>
          <w:b/>
          <w:sz w:val="24"/>
          <w:szCs w:val="24"/>
          <w:lang w:val="ro-RO"/>
        </w:rPr>
      </w:pPr>
    </w:p>
    <w:p w:rsidR="00293FC2" w:rsidRPr="003232C7" w:rsidRDefault="0082157C" w:rsidP="00034D07">
      <w:pPr>
        <w:autoSpaceDE w:val="0"/>
        <w:autoSpaceDN w:val="0"/>
        <w:adjustRightInd w:val="0"/>
        <w:spacing w:after="0" w:line="240" w:lineRule="auto"/>
        <w:ind w:firstLine="720"/>
        <w:jc w:val="both"/>
        <w:rPr>
          <w:rFonts w:asciiTheme="minorBidi" w:hAnsiTheme="minorBidi"/>
          <w:sz w:val="24"/>
          <w:szCs w:val="24"/>
          <w:lang w:val="ro-RO"/>
        </w:rPr>
      </w:pPr>
      <w:r>
        <w:rPr>
          <w:rFonts w:ascii="Times New Roman" w:hAnsi="Times New Roman" w:cs="Times New Roman"/>
          <w:sz w:val="24"/>
          <w:szCs w:val="24"/>
          <w:lang w:val="ro-RO"/>
        </w:rPr>
        <w:t>Autorii preocupați de analiza procedurilor electorale, mai precis, co</w:t>
      </w:r>
      <w:r w:rsidR="00CE4D4E">
        <w:rPr>
          <w:rFonts w:ascii="Times New Roman" w:hAnsi="Times New Roman" w:cs="Times New Roman"/>
          <w:sz w:val="24"/>
          <w:szCs w:val="24"/>
          <w:lang w:val="ro-RO"/>
        </w:rPr>
        <w:t>ndițiile de înregistrare a candi</w:t>
      </w:r>
      <w:r>
        <w:rPr>
          <w:rFonts w:ascii="Times New Roman" w:hAnsi="Times New Roman" w:cs="Times New Roman"/>
          <w:sz w:val="24"/>
          <w:szCs w:val="24"/>
          <w:lang w:val="ro-RO"/>
        </w:rPr>
        <w:t xml:space="preserve">daților la alegeri par să cadă de acord asupra faptului că, în general, aceste condiții </w:t>
      </w:r>
      <w:r w:rsidR="00CF075C">
        <w:rPr>
          <w:rFonts w:ascii="Times New Roman" w:hAnsi="Times New Roman" w:cs="Times New Roman"/>
          <w:sz w:val="24"/>
          <w:szCs w:val="24"/>
          <w:lang w:val="ro-RO"/>
        </w:rPr>
        <w:t xml:space="preserve">au </w:t>
      </w:r>
      <w:r>
        <w:rPr>
          <w:rFonts w:ascii="Times New Roman" w:hAnsi="Times New Roman" w:cs="Times New Roman"/>
          <w:sz w:val="24"/>
          <w:szCs w:val="24"/>
          <w:lang w:val="ro-RO"/>
        </w:rPr>
        <w:t xml:space="preserve">mai mult efecte negative decât pozitive asupra </w:t>
      </w:r>
      <w:r w:rsidR="0071331D">
        <w:rPr>
          <w:rFonts w:ascii="Times New Roman" w:hAnsi="Times New Roman" w:cs="Times New Roman"/>
          <w:sz w:val="24"/>
          <w:szCs w:val="24"/>
          <w:lang w:val="ro-RO"/>
        </w:rPr>
        <w:t xml:space="preserve">procesului democratic ca atare. </w:t>
      </w:r>
      <w:r w:rsidR="00D83C70">
        <w:rPr>
          <w:rFonts w:ascii="Times New Roman" w:hAnsi="Times New Roman" w:cs="Times New Roman"/>
          <w:sz w:val="24"/>
          <w:szCs w:val="24"/>
          <w:lang w:val="ro-RO"/>
        </w:rPr>
        <w:t xml:space="preserve">Mai întâi de toate, </w:t>
      </w:r>
      <w:r w:rsidR="007A09B4">
        <w:rPr>
          <w:rFonts w:ascii="Times New Roman" w:hAnsi="Times New Roman" w:cs="Times New Roman"/>
          <w:sz w:val="24"/>
          <w:szCs w:val="24"/>
          <w:lang w:val="ro-RO"/>
        </w:rPr>
        <w:t>cercetările arată că niște con</w:t>
      </w:r>
      <w:r w:rsidR="008B1714">
        <w:rPr>
          <w:rFonts w:ascii="Times New Roman" w:hAnsi="Times New Roman" w:cs="Times New Roman"/>
          <w:sz w:val="24"/>
          <w:szCs w:val="24"/>
          <w:lang w:val="ro-RO"/>
        </w:rPr>
        <w:t>diții restrictive impuse candida</w:t>
      </w:r>
      <w:r w:rsidR="007C6DDC">
        <w:rPr>
          <w:rFonts w:ascii="Times New Roman" w:hAnsi="Times New Roman" w:cs="Times New Roman"/>
          <w:sz w:val="24"/>
          <w:szCs w:val="24"/>
          <w:lang w:val="ro-RO"/>
        </w:rPr>
        <w:t>ț</w:t>
      </w:r>
      <w:r w:rsidR="008B1714">
        <w:rPr>
          <w:rFonts w:ascii="Times New Roman" w:hAnsi="Times New Roman" w:cs="Times New Roman"/>
          <w:sz w:val="24"/>
          <w:szCs w:val="24"/>
          <w:lang w:val="ro-RO"/>
        </w:rPr>
        <w:t>ílor pentru a participa la alegeri</w:t>
      </w:r>
      <w:r w:rsidR="007A09B4">
        <w:rPr>
          <w:rFonts w:ascii="Times New Roman" w:hAnsi="Times New Roman" w:cs="Times New Roman"/>
          <w:sz w:val="24"/>
          <w:szCs w:val="24"/>
          <w:lang w:val="ro-RO"/>
        </w:rPr>
        <w:t xml:space="preserve"> </w:t>
      </w:r>
      <w:r w:rsidR="008B1714">
        <w:rPr>
          <w:rFonts w:ascii="Times New Roman" w:hAnsi="Times New Roman" w:cs="Times New Roman"/>
          <w:sz w:val="24"/>
          <w:szCs w:val="24"/>
          <w:lang w:val="ro-RO"/>
        </w:rPr>
        <w:t>a</w:t>
      </w:r>
      <w:r w:rsidR="00D83C70">
        <w:rPr>
          <w:rFonts w:asciiTheme="minorBidi" w:hAnsiTheme="minorBidi"/>
          <w:sz w:val="24"/>
          <w:szCs w:val="24"/>
          <w:lang w:val="ro-RO"/>
        </w:rPr>
        <w:t>fect</w:t>
      </w:r>
      <w:r w:rsidR="007A09B4">
        <w:rPr>
          <w:rFonts w:asciiTheme="minorBidi" w:hAnsiTheme="minorBidi"/>
          <w:sz w:val="24"/>
          <w:szCs w:val="24"/>
          <w:lang w:val="ro-RO"/>
        </w:rPr>
        <w:t>ează</w:t>
      </w:r>
      <w:r w:rsidR="00D83C70">
        <w:rPr>
          <w:rFonts w:asciiTheme="minorBidi" w:hAnsiTheme="minorBidi"/>
          <w:sz w:val="24"/>
          <w:szCs w:val="24"/>
          <w:lang w:val="ro-RO"/>
        </w:rPr>
        <w:t xml:space="preserve"> </w:t>
      </w:r>
      <w:r w:rsidR="008B1714">
        <w:rPr>
          <w:rFonts w:asciiTheme="minorBidi" w:hAnsiTheme="minorBidi"/>
          <w:sz w:val="24"/>
          <w:szCs w:val="24"/>
          <w:lang w:val="ro-RO"/>
        </w:rPr>
        <w:t>structura campaniei</w:t>
      </w:r>
      <w:r w:rsidR="00AB2471">
        <w:rPr>
          <w:rFonts w:asciiTheme="minorBidi" w:hAnsiTheme="minorBidi"/>
          <w:sz w:val="24"/>
          <w:szCs w:val="24"/>
          <w:lang w:val="ro-RO"/>
        </w:rPr>
        <w:t xml:space="preserve"> electorale în sine</w:t>
      </w:r>
      <w:r w:rsidR="00AA65AD">
        <w:rPr>
          <w:rFonts w:asciiTheme="minorBidi" w:hAnsiTheme="minorBidi"/>
          <w:sz w:val="24"/>
          <w:szCs w:val="24"/>
          <w:lang w:val="ro-RO"/>
        </w:rPr>
        <w:t>,</w:t>
      </w:r>
      <w:r w:rsidR="00AB2471">
        <w:rPr>
          <w:rFonts w:asciiTheme="minorBidi" w:hAnsiTheme="minorBidi"/>
          <w:sz w:val="24"/>
          <w:szCs w:val="24"/>
          <w:lang w:val="ro-RO"/>
        </w:rPr>
        <w:t xml:space="preserve"> </w:t>
      </w:r>
      <w:r w:rsidR="00AB2471" w:rsidRPr="001F3470">
        <w:rPr>
          <w:rFonts w:asciiTheme="minorBidi" w:hAnsiTheme="minorBidi"/>
          <w:sz w:val="24"/>
          <w:szCs w:val="24"/>
          <w:lang w:val="ro-RO"/>
        </w:rPr>
        <w:t>făcând competiția mai puțin ”competitivă”</w:t>
      </w:r>
      <w:r w:rsidR="00AB2471">
        <w:rPr>
          <w:rFonts w:asciiTheme="minorBidi" w:hAnsiTheme="minorBidi"/>
          <w:sz w:val="24"/>
          <w:szCs w:val="24"/>
          <w:lang w:val="ro-RO"/>
        </w:rPr>
        <w:t xml:space="preserve"> deoarece </w:t>
      </w:r>
      <w:r w:rsidR="00AB2471" w:rsidRPr="001F3470">
        <w:rPr>
          <w:rFonts w:asciiTheme="minorBidi" w:hAnsiTheme="minorBidi"/>
          <w:sz w:val="24"/>
          <w:szCs w:val="24"/>
          <w:lang w:val="ro-RO"/>
        </w:rPr>
        <w:t xml:space="preserve">semnăturile și depozitele în </w:t>
      </w:r>
      <w:r w:rsidR="00AB2471">
        <w:rPr>
          <w:rFonts w:asciiTheme="minorBidi" w:hAnsiTheme="minorBidi"/>
          <w:sz w:val="24"/>
          <w:szCs w:val="24"/>
          <w:lang w:val="ro-RO"/>
        </w:rPr>
        <w:t>bani reduc numărul de candidați</w:t>
      </w:r>
      <w:r w:rsidR="00AB2471" w:rsidRPr="001F3470">
        <w:rPr>
          <w:rFonts w:asciiTheme="minorBidi" w:hAnsiTheme="minorBidi"/>
          <w:sz w:val="24"/>
          <w:szCs w:val="24"/>
          <w:lang w:val="ro-RO"/>
        </w:rPr>
        <w:t xml:space="preserve"> și ajută vechii câștigători să își păstreze locurile.</w:t>
      </w:r>
      <w:r w:rsidR="00AB2471" w:rsidRPr="001F3470">
        <w:rPr>
          <w:rStyle w:val="FootnoteReference"/>
          <w:rFonts w:asciiTheme="minorBidi" w:hAnsiTheme="minorBidi"/>
          <w:sz w:val="24"/>
          <w:szCs w:val="24"/>
          <w:lang w:val="ro-RO"/>
        </w:rPr>
        <w:footnoteReference w:id="1"/>
      </w:r>
      <w:r w:rsidR="001E13D2">
        <w:rPr>
          <w:rFonts w:asciiTheme="minorBidi" w:hAnsiTheme="minorBidi"/>
          <w:sz w:val="24"/>
          <w:szCs w:val="24"/>
          <w:lang w:val="ro-RO"/>
        </w:rPr>
        <w:t xml:space="preserve"> </w:t>
      </w:r>
      <w:r w:rsidR="00970428">
        <w:rPr>
          <w:rFonts w:asciiTheme="minorBidi" w:hAnsiTheme="minorBidi"/>
          <w:sz w:val="24"/>
          <w:szCs w:val="24"/>
          <w:lang w:val="ro-RO"/>
        </w:rPr>
        <w:t>Aș</w:t>
      </w:r>
      <w:r w:rsidR="0039068A">
        <w:rPr>
          <w:rFonts w:asciiTheme="minorBidi" w:hAnsiTheme="minorBidi"/>
          <w:sz w:val="24"/>
          <w:szCs w:val="24"/>
          <w:lang w:val="ro-RO"/>
        </w:rPr>
        <w:t>a cum arată unii cercetători</w:t>
      </w:r>
      <w:r w:rsidR="00970428">
        <w:rPr>
          <w:rFonts w:asciiTheme="minorBidi" w:hAnsiTheme="minorBidi"/>
          <w:sz w:val="24"/>
          <w:szCs w:val="24"/>
          <w:lang w:val="ro-RO"/>
        </w:rPr>
        <w:t>, c</w:t>
      </w:r>
      <w:r w:rsidR="001E13D2">
        <w:rPr>
          <w:rFonts w:asciiTheme="minorBidi" w:hAnsiTheme="minorBidi"/>
          <w:sz w:val="24"/>
          <w:szCs w:val="24"/>
          <w:lang w:val="ro-RO"/>
        </w:rPr>
        <w:t xml:space="preserve">ondițiile dificile de acces la buletinul de vot pentru candidați afectează </w:t>
      </w:r>
      <w:r w:rsidR="00D83C70">
        <w:rPr>
          <w:rFonts w:asciiTheme="minorBidi" w:hAnsiTheme="minorBidi"/>
          <w:sz w:val="24"/>
          <w:szCs w:val="24"/>
          <w:lang w:val="ro-RO"/>
        </w:rPr>
        <w:t xml:space="preserve">intrarea în competiție nu </w:t>
      </w:r>
      <w:r w:rsidR="00D83C70">
        <w:rPr>
          <w:rFonts w:asciiTheme="minorBidi" w:hAnsiTheme="minorBidi"/>
          <w:sz w:val="24"/>
          <w:szCs w:val="24"/>
          <w:lang w:val="ro-RO"/>
        </w:rPr>
        <w:lastRenderedPageBreak/>
        <w:t>numai a partidelor mici, ci și a partidelor mari, atunci când numărul de semnături este mare.</w:t>
      </w:r>
      <w:r w:rsidR="00D83C70">
        <w:rPr>
          <w:rStyle w:val="FootnoteReference"/>
          <w:rFonts w:asciiTheme="minorBidi" w:hAnsiTheme="minorBidi"/>
          <w:sz w:val="24"/>
          <w:szCs w:val="24"/>
          <w:lang w:val="ro-RO"/>
        </w:rPr>
        <w:footnoteReference w:id="2"/>
      </w:r>
      <w:r w:rsidR="00D83C70">
        <w:rPr>
          <w:rFonts w:asciiTheme="minorBidi" w:hAnsiTheme="minorBidi"/>
          <w:sz w:val="24"/>
          <w:szCs w:val="24"/>
          <w:lang w:val="ro-RO"/>
        </w:rPr>
        <w:t xml:space="preserve"> </w:t>
      </w:r>
      <w:r w:rsidR="00703AA1">
        <w:rPr>
          <w:rFonts w:asciiTheme="minorBidi" w:hAnsiTheme="minorBidi"/>
          <w:sz w:val="24"/>
          <w:szCs w:val="24"/>
          <w:lang w:val="ro-RO"/>
        </w:rPr>
        <w:t>Este însă știut faptul că</w:t>
      </w:r>
      <w:r w:rsidR="00970428">
        <w:rPr>
          <w:rFonts w:asciiTheme="minorBidi" w:hAnsiTheme="minorBidi"/>
          <w:sz w:val="24"/>
          <w:szCs w:val="24"/>
          <w:lang w:val="ro-RO"/>
        </w:rPr>
        <w:t>,</w:t>
      </w:r>
      <w:r w:rsidR="00703AA1">
        <w:rPr>
          <w:rFonts w:asciiTheme="minorBidi" w:hAnsiTheme="minorBidi"/>
          <w:sz w:val="24"/>
          <w:szCs w:val="24"/>
          <w:lang w:val="ro-RO"/>
        </w:rPr>
        <w:t xml:space="preserve"> dacă</w:t>
      </w:r>
      <w:r w:rsidR="00D83C70">
        <w:rPr>
          <w:rFonts w:asciiTheme="minorBidi" w:hAnsiTheme="minorBidi"/>
          <w:sz w:val="24"/>
          <w:szCs w:val="24"/>
          <w:lang w:val="ro-RO"/>
        </w:rPr>
        <w:t xml:space="preserve"> numărul de candidați este </w:t>
      </w:r>
      <w:r w:rsidR="00502A54">
        <w:rPr>
          <w:rFonts w:asciiTheme="minorBidi" w:hAnsiTheme="minorBidi"/>
          <w:sz w:val="24"/>
          <w:szCs w:val="24"/>
          <w:lang w:val="ro-RO"/>
        </w:rPr>
        <w:t>mare,</w:t>
      </w:r>
      <w:r w:rsidR="00D83C70">
        <w:rPr>
          <w:rFonts w:asciiTheme="minorBidi" w:hAnsiTheme="minorBidi"/>
          <w:sz w:val="24"/>
          <w:szCs w:val="24"/>
          <w:lang w:val="ro-RO"/>
        </w:rPr>
        <w:t xml:space="preserve"> competiția este mai bună</w:t>
      </w:r>
      <w:r w:rsidR="00502A54">
        <w:rPr>
          <w:rFonts w:asciiTheme="minorBidi" w:hAnsiTheme="minorBidi"/>
          <w:sz w:val="24"/>
          <w:szCs w:val="24"/>
          <w:lang w:val="ro-RO"/>
        </w:rPr>
        <w:t xml:space="preserve">, iar </w:t>
      </w:r>
      <w:r w:rsidR="00D83C70">
        <w:rPr>
          <w:rFonts w:asciiTheme="minorBidi" w:hAnsiTheme="minorBidi"/>
          <w:sz w:val="24"/>
          <w:szCs w:val="24"/>
          <w:lang w:val="ro-RO"/>
        </w:rPr>
        <w:t xml:space="preserve">șansele de a câștiga </w:t>
      </w:r>
      <w:r w:rsidR="00502A54">
        <w:rPr>
          <w:rFonts w:asciiTheme="minorBidi" w:hAnsiTheme="minorBidi"/>
          <w:sz w:val="24"/>
          <w:szCs w:val="24"/>
          <w:lang w:val="ro-RO"/>
        </w:rPr>
        <w:t xml:space="preserve">un competitor mai bun cresc și deci </w:t>
      </w:r>
      <w:r w:rsidR="0039068A">
        <w:rPr>
          <w:rFonts w:asciiTheme="minorBidi" w:hAnsiTheme="minorBidi"/>
          <w:sz w:val="24"/>
          <w:szCs w:val="24"/>
          <w:lang w:val="ro-RO"/>
        </w:rPr>
        <w:t xml:space="preserve">, în final, </w:t>
      </w:r>
      <w:r w:rsidR="00970428">
        <w:rPr>
          <w:rFonts w:asciiTheme="minorBidi" w:hAnsiTheme="minorBidi"/>
          <w:sz w:val="24"/>
          <w:szCs w:val="24"/>
          <w:lang w:val="ro-RO"/>
        </w:rPr>
        <w:t xml:space="preserve">competiția </w:t>
      </w:r>
      <w:r w:rsidR="00502A54">
        <w:rPr>
          <w:rFonts w:asciiTheme="minorBidi" w:hAnsiTheme="minorBidi"/>
          <w:sz w:val="24"/>
          <w:szCs w:val="24"/>
          <w:lang w:val="ro-RO"/>
        </w:rPr>
        <w:t xml:space="preserve">conduce la </w:t>
      </w:r>
      <w:r w:rsidR="00D83C70">
        <w:rPr>
          <w:rFonts w:asciiTheme="minorBidi" w:hAnsiTheme="minorBidi"/>
          <w:sz w:val="24"/>
          <w:szCs w:val="24"/>
          <w:lang w:val="ro-RO"/>
        </w:rPr>
        <w:t>o gu</w:t>
      </w:r>
      <w:r w:rsidR="00970428">
        <w:rPr>
          <w:rFonts w:asciiTheme="minorBidi" w:hAnsiTheme="minorBidi"/>
          <w:sz w:val="24"/>
          <w:szCs w:val="24"/>
          <w:lang w:val="ro-RO"/>
        </w:rPr>
        <w:t>vernare mai de calitate și, implicit, la p</w:t>
      </w:r>
      <w:r w:rsidR="00D83C70">
        <w:rPr>
          <w:rFonts w:asciiTheme="minorBidi" w:hAnsiTheme="minorBidi"/>
          <w:sz w:val="24"/>
          <w:szCs w:val="24"/>
          <w:lang w:val="ro-RO"/>
        </w:rPr>
        <w:t>erformanță economică.</w:t>
      </w:r>
      <w:r w:rsidR="00D83C70">
        <w:rPr>
          <w:rStyle w:val="FootnoteReference"/>
          <w:rFonts w:asciiTheme="minorBidi" w:hAnsiTheme="minorBidi"/>
          <w:sz w:val="24"/>
          <w:szCs w:val="24"/>
          <w:lang w:val="ro-RO"/>
        </w:rPr>
        <w:footnoteReference w:id="3"/>
      </w:r>
      <w:r w:rsidR="00D83C70">
        <w:rPr>
          <w:rFonts w:asciiTheme="minorBidi" w:hAnsiTheme="minorBidi"/>
          <w:sz w:val="24"/>
          <w:szCs w:val="24"/>
          <w:lang w:val="ro-RO"/>
        </w:rPr>
        <w:t xml:space="preserve"> </w:t>
      </w:r>
      <w:r w:rsidR="00ED602C">
        <w:rPr>
          <w:rFonts w:asciiTheme="minorBidi" w:hAnsiTheme="minorBidi"/>
          <w:sz w:val="24"/>
          <w:szCs w:val="24"/>
          <w:lang w:val="ro-RO"/>
        </w:rPr>
        <w:t xml:space="preserve">În plus, </w:t>
      </w:r>
      <w:r w:rsidR="00ED602C">
        <w:rPr>
          <w:rFonts w:ascii="Times New Roman" w:hAnsi="Times New Roman" w:cs="Times New Roman"/>
          <w:sz w:val="24"/>
          <w:szCs w:val="24"/>
          <w:lang w:val="ro-RO"/>
        </w:rPr>
        <w:t>a</w:t>
      </w:r>
      <w:r w:rsidR="00ED602C" w:rsidRPr="00A8440E">
        <w:rPr>
          <w:rFonts w:ascii="Times New Roman" w:hAnsi="Times New Roman" w:cs="Times New Roman"/>
          <w:sz w:val="24"/>
          <w:szCs w:val="24"/>
          <w:lang w:val="ro-RO"/>
        </w:rPr>
        <w:t xml:space="preserve">şa </w:t>
      </w:r>
      <w:r w:rsidR="00ED602C" w:rsidRPr="00CD2F83">
        <w:rPr>
          <w:rFonts w:ascii="Times New Roman" w:hAnsi="Times New Roman" w:cs="Times New Roman"/>
          <w:sz w:val="24"/>
          <w:szCs w:val="24"/>
          <w:lang w:val="ro-RO"/>
        </w:rPr>
        <w:t>cum</w:t>
      </w:r>
      <w:r w:rsidR="00C30B34" w:rsidRPr="00CD2F83">
        <w:rPr>
          <w:rFonts w:ascii="Times New Roman" w:hAnsi="Times New Roman" w:cs="Times New Roman"/>
          <w:sz w:val="24"/>
          <w:szCs w:val="24"/>
          <w:lang w:val="ro-RO"/>
        </w:rPr>
        <w:t xml:space="preserve"> Daniel</w:t>
      </w:r>
      <w:r w:rsidR="00ED602C" w:rsidRPr="00CD2F83">
        <w:rPr>
          <w:rFonts w:ascii="Times New Roman" w:hAnsi="Times New Roman" w:cs="Times New Roman"/>
          <w:sz w:val="24"/>
          <w:szCs w:val="24"/>
          <w:lang w:val="ro-RO"/>
        </w:rPr>
        <w:t xml:space="preserve"> Lee</w:t>
      </w:r>
      <w:r w:rsidR="00ED602C" w:rsidRPr="00A8440E">
        <w:rPr>
          <w:rFonts w:ascii="Times New Roman" w:hAnsi="Times New Roman" w:cs="Times New Roman"/>
          <w:sz w:val="24"/>
          <w:szCs w:val="24"/>
          <w:lang w:val="ro-RO"/>
        </w:rPr>
        <w:t xml:space="preserve"> </w:t>
      </w:r>
      <w:r w:rsidR="00ED602C">
        <w:rPr>
          <w:rFonts w:ascii="Times New Roman" w:hAnsi="Times New Roman" w:cs="Times New Roman"/>
          <w:sz w:val="24"/>
          <w:szCs w:val="24"/>
          <w:lang w:val="ro-RO"/>
        </w:rPr>
        <w:t>s</w:t>
      </w:r>
      <w:r w:rsidR="00ED602C" w:rsidRPr="00A8440E">
        <w:rPr>
          <w:rFonts w:ascii="Times New Roman" w:hAnsi="Times New Roman" w:cs="Times New Roman"/>
          <w:sz w:val="24"/>
          <w:szCs w:val="24"/>
          <w:lang w:val="ro-RO"/>
        </w:rPr>
        <w:t>ugerează, strângerea de s</w:t>
      </w:r>
      <w:r w:rsidR="00ED602C">
        <w:rPr>
          <w:rFonts w:ascii="Times New Roman" w:hAnsi="Times New Roman" w:cs="Times New Roman"/>
          <w:sz w:val="24"/>
          <w:szCs w:val="24"/>
          <w:lang w:val="ro-RO"/>
        </w:rPr>
        <w:t>emnături presupune cheltuirea unor resurse</w:t>
      </w:r>
      <w:r w:rsidR="00ED602C" w:rsidRPr="00A8440E">
        <w:rPr>
          <w:rFonts w:ascii="Times New Roman" w:hAnsi="Times New Roman" w:cs="Times New Roman"/>
          <w:sz w:val="24"/>
          <w:szCs w:val="24"/>
          <w:lang w:val="ro-RO"/>
        </w:rPr>
        <w:t xml:space="preserve"> pe care </w:t>
      </w:r>
      <w:r w:rsidR="00ED602C" w:rsidRPr="00C30B34">
        <w:rPr>
          <w:rFonts w:ascii="Times New Roman" w:hAnsi="Times New Roman" w:cs="Times New Roman"/>
          <w:sz w:val="24"/>
          <w:szCs w:val="24"/>
          <w:lang w:val="ro-RO"/>
        </w:rPr>
        <w:t>un partid politic le-ar putea folosi într-o campanie de a se face cunoscut.</w:t>
      </w:r>
      <w:r w:rsidR="00ED602C" w:rsidRPr="00C30B34">
        <w:rPr>
          <w:rStyle w:val="FootnoteReference"/>
          <w:rFonts w:ascii="Times New Roman" w:hAnsi="Times New Roman" w:cs="Times New Roman"/>
          <w:sz w:val="24"/>
          <w:szCs w:val="24"/>
          <w:lang w:val="ro-RO"/>
        </w:rPr>
        <w:footnoteReference w:id="4"/>
      </w:r>
      <w:r w:rsidR="0090449F" w:rsidRPr="00C30B34">
        <w:rPr>
          <w:rFonts w:ascii="Times New Roman" w:hAnsi="Times New Roman" w:cs="Times New Roman"/>
          <w:sz w:val="24"/>
          <w:szCs w:val="24"/>
          <w:lang w:val="ro-RO"/>
        </w:rPr>
        <w:t xml:space="preserve"> De asemenea, </w:t>
      </w:r>
      <w:r w:rsidR="00263009" w:rsidRPr="00C30B34">
        <w:rPr>
          <w:rFonts w:ascii="Times New Roman" w:hAnsi="Times New Roman" w:cs="Times New Roman"/>
          <w:sz w:val="24"/>
          <w:szCs w:val="24"/>
          <w:lang w:val="ro-RO"/>
        </w:rPr>
        <w:t>Anika</w:t>
      </w:r>
      <w:r w:rsidR="00C30B34" w:rsidRPr="00C30B34">
        <w:rPr>
          <w:rFonts w:ascii="Times New Roman" w:hAnsi="Times New Roman" w:cs="Times New Roman"/>
          <w:sz w:val="24"/>
          <w:szCs w:val="24"/>
          <w:lang w:val="ro-RO"/>
        </w:rPr>
        <w:t xml:space="preserve"> </w:t>
      </w:r>
      <w:r w:rsidR="00C30B34" w:rsidRPr="00C30B34">
        <w:rPr>
          <w:rFonts w:asciiTheme="minorBidi" w:hAnsiTheme="minorBidi"/>
          <w:color w:val="000000" w:themeColor="text1"/>
          <w:sz w:val="24"/>
          <w:szCs w:val="24"/>
          <w:lang w:val="ro-RO"/>
        </w:rPr>
        <w:t>Gauja</w:t>
      </w:r>
      <w:r w:rsidR="0090449F" w:rsidRPr="00C30B34">
        <w:rPr>
          <w:rFonts w:ascii="Times New Roman" w:hAnsi="Times New Roman" w:cs="Times New Roman"/>
          <w:sz w:val="24"/>
          <w:szCs w:val="24"/>
          <w:lang w:val="ro-RO"/>
        </w:rPr>
        <w:t xml:space="preserve"> remarcă</w:t>
      </w:r>
      <w:r w:rsidR="00C31473" w:rsidRPr="00C30B34">
        <w:rPr>
          <w:rFonts w:ascii="Times New Roman" w:hAnsi="Times New Roman" w:cs="Times New Roman"/>
          <w:sz w:val="24"/>
          <w:szCs w:val="24"/>
          <w:lang w:val="ro-RO"/>
        </w:rPr>
        <w:t>,</w:t>
      </w:r>
      <w:r w:rsidR="0090449F" w:rsidRPr="00C30B34">
        <w:rPr>
          <w:rFonts w:ascii="Times New Roman" w:hAnsi="Times New Roman" w:cs="Times New Roman"/>
          <w:sz w:val="24"/>
          <w:szCs w:val="24"/>
          <w:lang w:val="ro-RO"/>
        </w:rPr>
        <w:t xml:space="preserve"> în cartea sa</w:t>
      </w:r>
      <w:r w:rsidR="00C31473" w:rsidRPr="00C30B34">
        <w:rPr>
          <w:rFonts w:ascii="Times New Roman" w:hAnsi="Times New Roman" w:cs="Times New Roman"/>
          <w:sz w:val="24"/>
          <w:szCs w:val="24"/>
          <w:lang w:val="ro-RO"/>
        </w:rPr>
        <w:t>,</w:t>
      </w:r>
      <w:r w:rsidR="0090449F" w:rsidRPr="00C30B34">
        <w:rPr>
          <w:rFonts w:ascii="Times New Roman" w:hAnsi="Times New Roman" w:cs="Times New Roman"/>
          <w:sz w:val="24"/>
          <w:szCs w:val="24"/>
          <w:lang w:val="ro-RO"/>
        </w:rPr>
        <w:t xml:space="preserve"> că </w:t>
      </w:r>
      <w:r w:rsidR="00263009" w:rsidRPr="00C30B34">
        <w:rPr>
          <w:rFonts w:ascii="Times New Roman" w:hAnsi="Times New Roman" w:cs="Times New Roman"/>
          <w:sz w:val="24"/>
          <w:szCs w:val="24"/>
          <w:lang w:val="ro-RO"/>
        </w:rPr>
        <w:t>reglementările privind partidele politice în</w:t>
      </w:r>
      <w:r w:rsidR="00550228" w:rsidRPr="00C30B34">
        <w:rPr>
          <w:rFonts w:ascii="Times New Roman" w:hAnsi="Times New Roman" w:cs="Times New Roman"/>
          <w:sz w:val="24"/>
          <w:szCs w:val="24"/>
          <w:lang w:val="ro-RO"/>
        </w:rPr>
        <w:t xml:space="preserve"> general se aseamănă cu re</w:t>
      </w:r>
      <w:r w:rsidR="00263009" w:rsidRPr="00C30B34">
        <w:rPr>
          <w:rFonts w:ascii="Times New Roman" w:hAnsi="Times New Roman" w:cs="Times New Roman"/>
          <w:sz w:val="24"/>
          <w:szCs w:val="24"/>
          <w:lang w:val="ro-RO"/>
        </w:rPr>
        <w:t>g</w:t>
      </w:r>
      <w:r w:rsidR="00550228" w:rsidRPr="00C30B34">
        <w:rPr>
          <w:rFonts w:ascii="Times New Roman" w:hAnsi="Times New Roman" w:cs="Times New Roman"/>
          <w:sz w:val="24"/>
          <w:szCs w:val="24"/>
          <w:lang w:val="ro-RO"/>
        </w:rPr>
        <w:t>l</w:t>
      </w:r>
      <w:r w:rsidR="00263009" w:rsidRPr="00C30B34">
        <w:rPr>
          <w:rFonts w:ascii="Times New Roman" w:hAnsi="Times New Roman" w:cs="Times New Roman"/>
          <w:sz w:val="24"/>
          <w:szCs w:val="24"/>
          <w:lang w:val="ro-RO"/>
        </w:rPr>
        <w:t>ementările privind sistemele electorale prin faptul că partidele însele fiind cele care le concep, tendinţa este ca par</w:t>
      </w:r>
      <w:r w:rsidR="0039068A" w:rsidRPr="00C30B34">
        <w:rPr>
          <w:rFonts w:ascii="Times New Roman" w:hAnsi="Times New Roman" w:cs="Times New Roman"/>
          <w:sz w:val="24"/>
          <w:szCs w:val="24"/>
          <w:lang w:val="ro-RO"/>
        </w:rPr>
        <w:t>t</w:t>
      </w:r>
      <w:r w:rsidR="00263009" w:rsidRPr="00C30B34">
        <w:rPr>
          <w:rFonts w:ascii="Times New Roman" w:hAnsi="Times New Roman" w:cs="Times New Roman"/>
          <w:sz w:val="24"/>
          <w:szCs w:val="24"/>
          <w:lang w:val="ro-RO"/>
        </w:rPr>
        <w:t>idele „să consolideze modelele pre-e</w:t>
      </w:r>
      <w:r w:rsidR="00C31473" w:rsidRPr="00C30B34">
        <w:rPr>
          <w:rFonts w:ascii="Times New Roman" w:hAnsi="Times New Roman" w:cs="Times New Roman"/>
          <w:sz w:val="24"/>
          <w:szCs w:val="24"/>
          <w:lang w:val="ro-RO"/>
        </w:rPr>
        <w:t>xistente sau să privilegieze pro</w:t>
      </w:r>
      <w:r w:rsidR="00263009" w:rsidRPr="00C30B34">
        <w:rPr>
          <w:rFonts w:ascii="Times New Roman" w:hAnsi="Times New Roman" w:cs="Times New Roman"/>
          <w:sz w:val="24"/>
          <w:szCs w:val="24"/>
          <w:lang w:val="ro-RO"/>
        </w:rPr>
        <w:t>priile</w:t>
      </w:r>
      <w:r w:rsidR="00263009" w:rsidRPr="00252B07">
        <w:rPr>
          <w:rFonts w:ascii="Times New Roman" w:hAnsi="Times New Roman" w:cs="Times New Roman"/>
          <w:sz w:val="24"/>
          <w:szCs w:val="24"/>
          <w:lang w:val="ro-RO"/>
        </w:rPr>
        <w:t xml:space="preserve"> poziţii în cadrul design</w:t>
      </w:r>
      <w:r w:rsidR="00C31473">
        <w:rPr>
          <w:rFonts w:ascii="Times New Roman" w:hAnsi="Times New Roman" w:cs="Times New Roman"/>
          <w:sz w:val="24"/>
          <w:szCs w:val="24"/>
          <w:lang w:val="ro-RO"/>
        </w:rPr>
        <w:t>-</w:t>
      </w:r>
      <w:r w:rsidR="00263009" w:rsidRPr="00252B07">
        <w:rPr>
          <w:rFonts w:ascii="Times New Roman" w:hAnsi="Times New Roman" w:cs="Times New Roman"/>
          <w:sz w:val="24"/>
          <w:szCs w:val="24"/>
          <w:lang w:val="ro-RO"/>
        </w:rPr>
        <w:t>ului unui anumit regim legal” (propria traducere).</w:t>
      </w:r>
      <w:r w:rsidR="00263009" w:rsidRPr="00252B07">
        <w:rPr>
          <w:rStyle w:val="FootnoteReference"/>
          <w:rFonts w:ascii="Times New Roman" w:hAnsi="Times New Roman" w:cs="Times New Roman"/>
          <w:sz w:val="24"/>
          <w:szCs w:val="24"/>
          <w:lang w:val="ro-RO"/>
        </w:rPr>
        <w:footnoteReference w:id="5"/>
      </w:r>
      <w:r w:rsidR="00263009">
        <w:rPr>
          <w:rFonts w:ascii="Times New Roman" w:hAnsi="Times New Roman" w:cs="Times New Roman"/>
          <w:sz w:val="24"/>
          <w:szCs w:val="24"/>
          <w:lang w:val="ro-RO"/>
        </w:rPr>
        <w:t xml:space="preserve"> </w:t>
      </w:r>
      <w:r w:rsidR="00921079">
        <w:rPr>
          <w:rFonts w:ascii="Times New Roman" w:hAnsi="Times New Roman" w:cs="Times New Roman"/>
          <w:sz w:val="24"/>
          <w:szCs w:val="24"/>
          <w:lang w:val="ro-RO"/>
        </w:rPr>
        <w:t>Astfel, p</w:t>
      </w:r>
      <w:r w:rsidR="00263009">
        <w:rPr>
          <w:rFonts w:ascii="Times New Roman" w:hAnsi="Times New Roman" w:cs="Times New Roman"/>
          <w:sz w:val="24"/>
          <w:szCs w:val="24"/>
          <w:lang w:val="ro-RO"/>
        </w:rPr>
        <w:t xml:space="preserve">artidele aflate la conducere, urmând logica teoriei cartelizarii sistemelor de partide, vor avea tendința </w:t>
      </w:r>
      <w:r w:rsidR="00263009" w:rsidRPr="001F3470">
        <w:rPr>
          <w:rFonts w:asciiTheme="minorBidi" w:hAnsiTheme="minorBidi"/>
          <w:sz w:val="24"/>
          <w:szCs w:val="24"/>
          <w:lang w:val="ro-RO"/>
        </w:rPr>
        <w:t>să impună condiții restrictive tocmai pentru a îngrădi accesul noilor partide la competiția electorală.</w:t>
      </w:r>
      <w:r w:rsidR="00A870D0">
        <w:rPr>
          <w:rFonts w:asciiTheme="minorBidi" w:hAnsiTheme="minorBidi"/>
          <w:sz w:val="24"/>
          <w:szCs w:val="24"/>
          <w:lang w:val="ro-RO"/>
        </w:rPr>
        <w:t xml:space="preserve"> </w:t>
      </w:r>
      <w:r w:rsidR="003232C7">
        <w:rPr>
          <w:rFonts w:asciiTheme="minorBidi" w:hAnsiTheme="minorBidi"/>
          <w:sz w:val="24"/>
          <w:szCs w:val="24"/>
          <w:lang w:val="ro-RO"/>
        </w:rPr>
        <w:t xml:space="preserve">Este de așteptat ca partidele aflate deja la putere să înăsprească acest tip de condiții de înregistrare a noilor partide în competiție, pentru a se proteja de o competiție care le-ar putea pune în pericol pozițiile de putere. </w:t>
      </w:r>
      <w:r w:rsidR="0054179A">
        <w:rPr>
          <w:rFonts w:ascii="Times New Roman" w:hAnsi="Times New Roman" w:cs="Times New Roman"/>
          <w:sz w:val="24"/>
          <w:szCs w:val="24"/>
          <w:shd w:val="clear" w:color="auto" w:fill="FFFFFF"/>
          <w:lang w:val="ro-RO"/>
        </w:rPr>
        <w:t>M</w:t>
      </w:r>
      <w:r w:rsidR="0054179A" w:rsidRPr="00CE6E15">
        <w:rPr>
          <w:rFonts w:ascii="Times New Roman" w:hAnsi="Times New Roman" w:cs="Times New Roman"/>
          <w:sz w:val="24"/>
          <w:szCs w:val="24"/>
          <w:shd w:val="clear" w:color="auto" w:fill="FFFFFF"/>
          <w:lang w:val="ro-RO"/>
        </w:rPr>
        <w:t xml:space="preserve">ai mulţi autori au devedit că partidele de la putere stabilesc bariere ridicate de intrare în competiţia electorala, cu un scop bine determinat, acela de a face competiţia mai uşoară, protejându-se </w:t>
      </w:r>
      <w:r w:rsidR="0054179A">
        <w:rPr>
          <w:rFonts w:ascii="Times New Roman" w:hAnsi="Times New Roman" w:cs="Times New Roman"/>
          <w:sz w:val="24"/>
          <w:szCs w:val="24"/>
          <w:shd w:val="clear" w:color="auto" w:fill="FFFFFF"/>
          <w:lang w:val="ro-RO"/>
        </w:rPr>
        <w:t xml:space="preserve"> </w:t>
      </w:r>
      <w:r w:rsidR="0054179A" w:rsidRPr="00CE6E15">
        <w:rPr>
          <w:rFonts w:ascii="Times New Roman" w:hAnsi="Times New Roman" w:cs="Times New Roman"/>
          <w:sz w:val="24"/>
          <w:szCs w:val="24"/>
          <w:shd w:val="clear" w:color="auto" w:fill="FFFFFF"/>
          <w:lang w:val="ro-RO"/>
        </w:rPr>
        <w:t>de competiţie</w:t>
      </w:r>
      <w:r w:rsidR="00FC08D5">
        <w:rPr>
          <w:rFonts w:ascii="Times New Roman" w:hAnsi="Times New Roman" w:cs="Times New Roman"/>
          <w:sz w:val="24"/>
          <w:szCs w:val="24"/>
          <w:shd w:val="clear" w:color="auto" w:fill="FFFFFF"/>
          <w:lang w:val="ro-RO"/>
        </w:rPr>
        <w:t xml:space="preserve"> ca atare</w:t>
      </w:r>
      <w:r w:rsidR="0054179A" w:rsidRPr="00CE6E15">
        <w:rPr>
          <w:rFonts w:ascii="Times New Roman" w:hAnsi="Times New Roman" w:cs="Times New Roman"/>
          <w:sz w:val="24"/>
          <w:szCs w:val="24"/>
          <w:shd w:val="clear" w:color="auto" w:fill="FFFFFF"/>
          <w:lang w:val="ro-RO"/>
        </w:rPr>
        <w:t xml:space="preserve">. Spre deosebire de economie unde competitorii nu deţin acces direct la mijloacele de a modifica regulile jocului astfel încât să îi avantajeze, actorii politici pot modifica regulile legale în care se desfăşoară </w:t>
      </w:r>
      <w:r w:rsidR="0054179A" w:rsidRPr="00BB3DE8">
        <w:rPr>
          <w:rFonts w:ascii="Times New Roman" w:hAnsi="Times New Roman" w:cs="Times New Roman"/>
          <w:sz w:val="24"/>
          <w:szCs w:val="24"/>
          <w:shd w:val="clear" w:color="auto" w:fill="FFFFFF"/>
          <w:lang w:val="ro-RO"/>
        </w:rPr>
        <w:t>competiţia, având la îndemână instrumente legale, astfel încât să îşi uşureze competiţia, prin îngreunarea accesului partidelor extra-paralementare la a intra în cursa electorală.</w:t>
      </w:r>
      <w:r w:rsidR="0054179A">
        <w:rPr>
          <w:rFonts w:asciiTheme="minorBidi" w:hAnsiTheme="minorBidi"/>
          <w:sz w:val="24"/>
          <w:szCs w:val="24"/>
          <w:lang w:val="ro-RO"/>
        </w:rPr>
        <w:t xml:space="preserve"> </w:t>
      </w:r>
      <w:r w:rsidR="003232C7">
        <w:rPr>
          <w:rFonts w:ascii="Times New Roman" w:hAnsi="Times New Roman" w:cs="Times New Roman"/>
          <w:sz w:val="24"/>
          <w:szCs w:val="24"/>
          <w:lang w:val="ro-RO"/>
        </w:rPr>
        <w:t>Condiții care impun criterii cu greu de îndeplinit înăbușă crearea partidelor și a unei competiții de cea mai bună calitate între partide</w:t>
      </w:r>
      <w:r w:rsidR="00586BAC">
        <w:rPr>
          <w:rFonts w:ascii="Times New Roman" w:hAnsi="Times New Roman" w:cs="Times New Roman"/>
          <w:sz w:val="24"/>
          <w:szCs w:val="24"/>
          <w:lang w:val="ro-RO"/>
        </w:rPr>
        <w:t>, deoarece, p</w:t>
      </w:r>
      <w:r w:rsidR="00A870D0" w:rsidRPr="00895C89">
        <w:rPr>
          <w:rFonts w:ascii="Times New Roman" w:hAnsi="Times New Roman" w:cs="Times New Roman"/>
          <w:sz w:val="24"/>
          <w:szCs w:val="24"/>
          <w:lang w:val="ro-RO"/>
        </w:rPr>
        <w:t>artidele politice, pentru a se constitui, întâmpină mai multe obstacole în proc</w:t>
      </w:r>
      <w:r w:rsidR="005108AE">
        <w:rPr>
          <w:rFonts w:ascii="Times New Roman" w:hAnsi="Times New Roman" w:cs="Times New Roman"/>
          <w:sz w:val="24"/>
          <w:szCs w:val="24"/>
          <w:lang w:val="ro-RO"/>
        </w:rPr>
        <w:t>esul lor de devenire politică,</w:t>
      </w:r>
      <w:r w:rsidR="00A07313">
        <w:rPr>
          <w:rFonts w:ascii="Times New Roman" w:hAnsi="Times New Roman" w:cs="Times New Roman"/>
          <w:sz w:val="24"/>
          <w:szCs w:val="24"/>
          <w:lang w:val="ro-RO"/>
        </w:rPr>
        <w:t xml:space="preserve"> aceastea fiind </w:t>
      </w:r>
      <w:r w:rsidR="00A870D0" w:rsidRPr="00895C89">
        <w:rPr>
          <w:rFonts w:ascii="Times New Roman" w:hAnsi="Times New Roman" w:cs="Times New Roman"/>
          <w:sz w:val="24"/>
          <w:szCs w:val="24"/>
          <w:lang w:val="ro-RO"/>
        </w:rPr>
        <w:t>administrat</w:t>
      </w:r>
      <w:r w:rsidR="00A870D0">
        <w:rPr>
          <w:rFonts w:ascii="Times New Roman" w:hAnsi="Times New Roman" w:cs="Times New Roman"/>
          <w:sz w:val="24"/>
          <w:szCs w:val="24"/>
          <w:lang w:val="ro-RO"/>
        </w:rPr>
        <w:t xml:space="preserve">ive, </w:t>
      </w:r>
      <w:r w:rsidR="002B6111">
        <w:rPr>
          <w:rFonts w:ascii="Times New Roman" w:hAnsi="Times New Roman" w:cs="Times New Roman"/>
          <w:sz w:val="24"/>
          <w:szCs w:val="24"/>
          <w:lang w:val="ro-RO"/>
        </w:rPr>
        <w:t>financiare, și ce țin</w:t>
      </w:r>
      <w:r w:rsidR="00A870D0" w:rsidRPr="00895C89">
        <w:rPr>
          <w:rFonts w:ascii="Times New Roman" w:hAnsi="Times New Roman" w:cs="Times New Roman"/>
          <w:sz w:val="24"/>
          <w:szCs w:val="24"/>
          <w:lang w:val="ro-RO"/>
        </w:rPr>
        <w:t xml:space="preserve"> de muncă,</w:t>
      </w:r>
      <w:r w:rsidR="00A870D0" w:rsidRPr="00895C89">
        <w:rPr>
          <w:rStyle w:val="FootnoteReference"/>
          <w:rFonts w:ascii="Times New Roman" w:hAnsi="Times New Roman" w:cs="Times New Roman"/>
          <w:sz w:val="24"/>
          <w:szCs w:val="24"/>
          <w:lang w:val="ro-RO"/>
        </w:rPr>
        <w:footnoteReference w:id="6"/>
      </w:r>
      <w:r w:rsidR="00A870D0" w:rsidRPr="00895C89">
        <w:rPr>
          <w:rFonts w:ascii="Times New Roman" w:hAnsi="Times New Roman" w:cs="Times New Roman"/>
          <w:sz w:val="24"/>
          <w:szCs w:val="24"/>
          <w:lang w:val="ro-RO"/>
        </w:rPr>
        <w:t xml:space="preserve"> iar accesul lor la competiția </w:t>
      </w:r>
      <w:r w:rsidR="00A870D0" w:rsidRPr="00F812E9">
        <w:rPr>
          <w:rFonts w:ascii="Times New Roman" w:hAnsi="Times New Roman" w:cs="Times New Roman"/>
          <w:sz w:val="24"/>
          <w:szCs w:val="24"/>
          <w:lang w:val="ro-RO"/>
        </w:rPr>
        <w:t>electorală</w:t>
      </w:r>
      <w:r w:rsidR="00A870D0">
        <w:rPr>
          <w:rFonts w:ascii="Times New Roman" w:hAnsi="Times New Roman" w:cs="Times New Roman"/>
          <w:sz w:val="24"/>
          <w:szCs w:val="24"/>
          <w:lang w:val="ro-RO"/>
        </w:rPr>
        <w:t>,</w:t>
      </w:r>
      <w:r w:rsidR="00A870D0" w:rsidRPr="00F812E9">
        <w:rPr>
          <w:rFonts w:ascii="Times New Roman" w:hAnsi="Times New Roman" w:cs="Times New Roman"/>
          <w:sz w:val="24"/>
          <w:szCs w:val="24"/>
          <w:lang w:val="ro-RO"/>
        </w:rPr>
        <w:t xml:space="preserve"> ceea ce este o primă etapă s</w:t>
      </w:r>
      <w:r w:rsidR="00A870D0">
        <w:rPr>
          <w:rFonts w:ascii="Times New Roman" w:hAnsi="Times New Roman" w:cs="Times New Roman"/>
          <w:sz w:val="24"/>
          <w:szCs w:val="24"/>
          <w:lang w:val="ro-RO"/>
        </w:rPr>
        <w:t xml:space="preserve">pre </w:t>
      </w:r>
      <w:r w:rsidR="00A870D0" w:rsidRPr="00F812E9">
        <w:rPr>
          <w:rFonts w:ascii="Times New Roman" w:hAnsi="Times New Roman" w:cs="Times New Roman"/>
          <w:sz w:val="24"/>
          <w:szCs w:val="24"/>
          <w:lang w:val="ro-RO"/>
        </w:rPr>
        <w:t xml:space="preserve">obținearea puterii, poate constitui un obstacol </w:t>
      </w:r>
      <w:r w:rsidR="00A72875">
        <w:rPr>
          <w:rFonts w:ascii="Times New Roman" w:hAnsi="Times New Roman" w:cs="Times New Roman"/>
          <w:sz w:val="24"/>
          <w:szCs w:val="24"/>
          <w:lang w:val="ro-RO"/>
        </w:rPr>
        <w:t>suficient de mare încât să descurajeze formarea unui partid politic.</w:t>
      </w:r>
      <w:r w:rsidR="00A870D0">
        <w:rPr>
          <w:rFonts w:ascii="Times New Roman" w:hAnsi="Times New Roman" w:cs="Times New Roman"/>
          <w:sz w:val="24"/>
          <w:szCs w:val="24"/>
          <w:lang w:val="ro-RO"/>
        </w:rPr>
        <w:t xml:space="preserve"> </w:t>
      </w:r>
      <w:r w:rsidR="00293FC2">
        <w:rPr>
          <w:rFonts w:ascii="Times New Roman" w:hAnsi="Times New Roman" w:cs="Times New Roman"/>
          <w:sz w:val="24"/>
          <w:szCs w:val="24"/>
          <w:lang w:val="ro-RO"/>
        </w:rPr>
        <w:t>Astfel, u</w:t>
      </w:r>
      <w:r w:rsidR="00293FC2" w:rsidRPr="0036488C">
        <w:rPr>
          <w:rFonts w:ascii="Times New Roman" w:hAnsi="Times New Roman" w:cs="Times New Roman"/>
          <w:sz w:val="24"/>
          <w:szCs w:val="24"/>
          <w:lang w:val="ro-RO"/>
        </w:rPr>
        <w:t>ltimele cercetări, arată că, din punct de vedere statistic, restricţiile financiare reduc numărul de candidaţi dintr-o competiţie şi</w:t>
      </w:r>
      <w:r w:rsidR="0054179A">
        <w:rPr>
          <w:rFonts w:ascii="Times New Roman" w:hAnsi="Times New Roman" w:cs="Times New Roman"/>
          <w:sz w:val="24"/>
          <w:szCs w:val="24"/>
          <w:lang w:val="ro-RO"/>
        </w:rPr>
        <w:t>,</w:t>
      </w:r>
      <w:r w:rsidR="00293FC2" w:rsidRPr="0036488C">
        <w:rPr>
          <w:rFonts w:ascii="Times New Roman" w:hAnsi="Times New Roman" w:cs="Times New Roman"/>
          <w:sz w:val="24"/>
          <w:szCs w:val="24"/>
          <w:lang w:val="ro-RO"/>
        </w:rPr>
        <w:t xml:space="preserve"> pe măsură ce depozitul în bani creşte, se reduce numărul de candidaţi.</w:t>
      </w:r>
      <w:r w:rsidR="00293FC2" w:rsidRPr="0036488C">
        <w:rPr>
          <w:rStyle w:val="FootnoteReference"/>
          <w:rFonts w:ascii="Times New Roman" w:hAnsi="Times New Roman" w:cs="Times New Roman"/>
          <w:sz w:val="24"/>
          <w:szCs w:val="24"/>
          <w:lang w:val="ro-RO"/>
        </w:rPr>
        <w:footnoteReference w:id="7"/>
      </w:r>
      <w:r w:rsidR="00293FC2" w:rsidRPr="0036488C">
        <w:rPr>
          <w:rFonts w:ascii="Times New Roman" w:hAnsi="Times New Roman" w:cs="Times New Roman"/>
          <w:sz w:val="24"/>
          <w:szCs w:val="24"/>
          <w:lang w:val="ro-RO"/>
        </w:rPr>
        <w:t xml:space="preserve"> </w:t>
      </w:r>
      <w:r w:rsidR="00293FC2" w:rsidRPr="006150D6">
        <w:rPr>
          <w:rFonts w:ascii="Times New Roman" w:hAnsi="Times New Roman" w:cs="Times New Roman"/>
          <w:sz w:val="24"/>
          <w:szCs w:val="24"/>
          <w:lang w:val="ro-RO"/>
        </w:rPr>
        <w:t xml:space="preserve">Însă un și mai mare impact asupra reducerii numărului de candidaţi dintr-o competiţie îl are numărul de semnături solicitate pentru a se înscrie un candidat în competiţie. Aşa cum spune </w:t>
      </w:r>
      <w:r w:rsidR="00293FC2" w:rsidRPr="006150D6">
        <w:rPr>
          <w:rFonts w:ascii="Times New Roman" w:hAnsi="Times New Roman" w:cs="Times New Roman"/>
          <w:sz w:val="24"/>
          <w:szCs w:val="24"/>
        </w:rPr>
        <w:t>Thomas Stratmann</w:t>
      </w:r>
      <w:r w:rsidR="0054179A">
        <w:rPr>
          <w:rFonts w:ascii="Times New Roman" w:hAnsi="Times New Roman" w:cs="Times New Roman"/>
          <w:sz w:val="24"/>
          <w:szCs w:val="24"/>
          <w:lang w:val="ro-RO"/>
        </w:rPr>
        <w:t>, că ”f</w:t>
      </w:r>
      <w:r w:rsidR="00293FC2" w:rsidRPr="006150D6">
        <w:rPr>
          <w:rFonts w:ascii="Times New Roman" w:hAnsi="Times New Roman" w:cs="Times New Roman"/>
          <w:sz w:val="24"/>
          <w:szCs w:val="24"/>
          <w:shd w:val="clear" w:color="auto" w:fill="FFFFFF"/>
          <w:lang w:val="ro-RO"/>
        </w:rPr>
        <w:t>iecare dolar al unui depozit în bani este un obstacol mai mare pentru intrarea [în competiţia electorală] a unui partid-candidat mic, decât p</w:t>
      </w:r>
      <w:r w:rsidR="0054179A">
        <w:rPr>
          <w:rFonts w:ascii="Times New Roman" w:hAnsi="Times New Roman" w:cs="Times New Roman"/>
          <w:sz w:val="24"/>
          <w:szCs w:val="24"/>
          <w:shd w:val="clear" w:color="auto" w:fill="FFFFFF"/>
          <w:lang w:val="ro-RO"/>
        </w:rPr>
        <w:t>entru un partid-candidat mare.”</w:t>
      </w:r>
      <w:r w:rsidR="00293FC2" w:rsidRPr="006150D6">
        <w:rPr>
          <w:rStyle w:val="FootnoteReference"/>
          <w:rFonts w:ascii="Times New Roman" w:hAnsi="Times New Roman" w:cs="Times New Roman"/>
          <w:sz w:val="24"/>
          <w:szCs w:val="24"/>
          <w:shd w:val="clear" w:color="auto" w:fill="FFFFFF"/>
          <w:lang w:val="ro-RO"/>
        </w:rPr>
        <w:footnoteReference w:id="8"/>
      </w:r>
      <w:r w:rsidR="00293FC2" w:rsidRPr="006150D6">
        <w:rPr>
          <w:rFonts w:ascii="Times New Roman" w:hAnsi="Times New Roman" w:cs="Times New Roman"/>
          <w:sz w:val="24"/>
          <w:szCs w:val="24"/>
          <w:shd w:val="clear" w:color="auto" w:fill="FFFFFF"/>
          <w:lang w:val="ro-RO"/>
        </w:rPr>
        <w:t xml:space="preserve"> Din cercetările realizate asupra Statelor Unite, depozitul mare în bani solicitat la înscrierea în competiţia electorală</w:t>
      </w:r>
      <w:r w:rsidR="00293FC2" w:rsidRPr="00CE6E15">
        <w:rPr>
          <w:rFonts w:ascii="Times New Roman" w:hAnsi="Times New Roman" w:cs="Times New Roman"/>
          <w:sz w:val="24"/>
          <w:szCs w:val="24"/>
          <w:shd w:val="clear" w:color="auto" w:fill="FFFFFF"/>
          <w:lang w:val="ro-RO"/>
        </w:rPr>
        <w:t xml:space="preserve"> po</w:t>
      </w:r>
      <w:r w:rsidR="00293FC2">
        <w:rPr>
          <w:rFonts w:ascii="Times New Roman" w:hAnsi="Times New Roman" w:cs="Times New Roman"/>
          <w:sz w:val="24"/>
          <w:szCs w:val="24"/>
          <w:shd w:val="clear" w:color="auto" w:fill="FFFFFF"/>
          <w:lang w:val="ro-RO"/>
        </w:rPr>
        <w:t xml:space="preserve">ate să reducă candidaţii, constând în partide mari, </w:t>
      </w:r>
      <w:r w:rsidR="00293FC2" w:rsidRPr="00CE6E15">
        <w:rPr>
          <w:rFonts w:ascii="Times New Roman" w:hAnsi="Times New Roman" w:cs="Times New Roman"/>
          <w:sz w:val="24"/>
          <w:szCs w:val="24"/>
          <w:shd w:val="clear" w:color="auto" w:fill="FFFFFF"/>
          <w:lang w:val="ro-RO"/>
        </w:rPr>
        <w:t>cu 4%</w:t>
      </w:r>
      <w:r w:rsidR="00293FC2">
        <w:rPr>
          <w:rFonts w:ascii="Times New Roman" w:hAnsi="Times New Roman" w:cs="Times New Roman"/>
          <w:sz w:val="24"/>
          <w:szCs w:val="24"/>
          <w:shd w:val="clear" w:color="auto" w:fill="FFFFFF"/>
          <w:lang w:val="ro-RO"/>
        </w:rPr>
        <w:t>,</w:t>
      </w:r>
      <w:r w:rsidR="00293FC2" w:rsidRPr="00CE6E15">
        <w:rPr>
          <w:rFonts w:ascii="Times New Roman" w:hAnsi="Times New Roman" w:cs="Times New Roman"/>
          <w:sz w:val="24"/>
          <w:szCs w:val="24"/>
          <w:shd w:val="clear" w:color="auto" w:fill="FFFFFF"/>
          <w:lang w:val="ro-RO"/>
        </w:rPr>
        <w:t xml:space="preserve"> iar partidele mici cu </w:t>
      </w:r>
      <w:r w:rsidR="00293FC2" w:rsidRPr="00CE6E15">
        <w:rPr>
          <w:rFonts w:ascii="Times New Roman" w:hAnsi="Times New Roman" w:cs="Times New Roman"/>
          <w:sz w:val="24"/>
          <w:szCs w:val="24"/>
          <w:shd w:val="clear" w:color="auto" w:fill="FFFFFF"/>
          <w:lang w:val="ro-RO"/>
        </w:rPr>
        <w:lastRenderedPageBreak/>
        <w:t>aproape 50%.</w:t>
      </w:r>
      <w:r w:rsidR="00293FC2" w:rsidRPr="00CE6E15">
        <w:rPr>
          <w:rStyle w:val="FootnoteReference"/>
          <w:rFonts w:ascii="Times New Roman" w:hAnsi="Times New Roman" w:cs="Times New Roman"/>
          <w:sz w:val="24"/>
          <w:szCs w:val="24"/>
          <w:shd w:val="clear" w:color="auto" w:fill="FFFFFF"/>
          <w:lang w:val="ro-RO"/>
        </w:rPr>
        <w:footnoteReference w:id="9"/>
      </w:r>
      <w:r w:rsidR="00293FC2" w:rsidRPr="00CE6E15">
        <w:rPr>
          <w:rFonts w:ascii="Times New Roman" w:hAnsi="Times New Roman" w:cs="Times New Roman"/>
          <w:sz w:val="24"/>
          <w:szCs w:val="24"/>
          <w:shd w:val="clear" w:color="auto" w:fill="FFFFFF"/>
          <w:lang w:val="ro-RO"/>
        </w:rPr>
        <w:t xml:space="preserve">  </w:t>
      </w:r>
      <w:r w:rsidR="00034D07">
        <w:rPr>
          <w:rFonts w:ascii="Times New Roman" w:hAnsi="Times New Roman" w:cs="Times New Roman"/>
          <w:sz w:val="24"/>
          <w:szCs w:val="24"/>
          <w:shd w:val="clear" w:color="auto" w:fill="FFFFFF"/>
          <w:lang w:val="ro-RO"/>
        </w:rPr>
        <w:t xml:space="preserve">În plus, </w:t>
      </w:r>
      <w:r w:rsidR="008230D2">
        <w:rPr>
          <w:rFonts w:ascii="Times New Roman" w:hAnsi="Times New Roman" w:cs="Times New Roman"/>
          <w:sz w:val="24"/>
          <w:szCs w:val="24"/>
          <w:shd w:val="clear" w:color="auto" w:fill="FFFFFF"/>
          <w:lang w:val="ro-RO"/>
        </w:rPr>
        <w:t xml:space="preserve">daca o țară are </w:t>
      </w:r>
      <w:r w:rsidR="00034D07">
        <w:rPr>
          <w:rFonts w:ascii="Times New Roman" w:hAnsi="Times New Roman" w:cs="Times New Roman"/>
          <w:sz w:val="24"/>
          <w:szCs w:val="24"/>
          <w:shd w:val="clear" w:color="auto" w:fill="FFFFFF"/>
          <w:lang w:val="ro-RO"/>
        </w:rPr>
        <w:t>c</w:t>
      </w:r>
      <w:r w:rsidR="00034D07" w:rsidRPr="00DB3CD5">
        <w:rPr>
          <w:rFonts w:ascii="Times New Roman" w:hAnsi="Times New Roman" w:cs="Times New Roman"/>
          <w:sz w:val="24"/>
          <w:szCs w:val="24"/>
          <w:lang w:val="ro-RO"/>
        </w:rPr>
        <w:t>erinţe laxe privind accesul pe buletinul de vot po</w:t>
      </w:r>
      <w:r w:rsidR="008230D2">
        <w:rPr>
          <w:rFonts w:ascii="Times New Roman" w:hAnsi="Times New Roman" w:cs="Times New Roman"/>
          <w:sz w:val="24"/>
          <w:szCs w:val="24"/>
          <w:lang w:val="ro-RO"/>
        </w:rPr>
        <w:t>a</w:t>
      </w:r>
      <w:r w:rsidR="00034D07" w:rsidRPr="00DB3CD5">
        <w:rPr>
          <w:rFonts w:ascii="Times New Roman" w:hAnsi="Times New Roman" w:cs="Times New Roman"/>
          <w:sz w:val="24"/>
          <w:szCs w:val="24"/>
          <w:lang w:val="ro-RO"/>
        </w:rPr>
        <w:t>t</w:t>
      </w:r>
      <w:r w:rsidR="008230D2">
        <w:rPr>
          <w:rFonts w:ascii="Times New Roman" w:hAnsi="Times New Roman" w:cs="Times New Roman"/>
          <w:sz w:val="24"/>
          <w:szCs w:val="24"/>
          <w:lang w:val="ro-RO"/>
        </w:rPr>
        <w:t>e fi interpretat</w:t>
      </w:r>
      <w:r w:rsidR="00034D07" w:rsidRPr="00DB3CD5">
        <w:rPr>
          <w:rFonts w:ascii="Times New Roman" w:hAnsi="Times New Roman" w:cs="Times New Roman"/>
          <w:sz w:val="24"/>
          <w:szCs w:val="24"/>
          <w:lang w:val="ro-RO"/>
        </w:rPr>
        <w:t xml:space="preserve"> ca un semn că sistemul de partide este slab consolidat, cum este cazul în Peru.</w:t>
      </w:r>
      <w:r w:rsidR="00034D07" w:rsidRPr="00DB3CD5">
        <w:rPr>
          <w:rStyle w:val="FootnoteReference"/>
          <w:rFonts w:ascii="Times New Roman" w:hAnsi="Times New Roman" w:cs="Times New Roman"/>
          <w:sz w:val="24"/>
          <w:szCs w:val="24"/>
          <w:lang w:val="ro-RO"/>
        </w:rPr>
        <w:footnoteReference w:id="10"/>
      </w:r>
    </w:p>
    <w:p w:rsidR="002D674E" w:rsidRPr="00C30B34" w:rsidRDefault="00E7391F" w:rsidP="002566BB">
      <w:pPr>
        <w:autoSpaceDE w:val="0"/>
        <w:autoSpaceDN w:val="0"/>
        <w:adjustRightInd w:val="0"/>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Poate unul dintre cele mai folosite arg</w:t>
      </w:r>
      <w:r w:rsidR="00174F20">
        <w:rPr>
          <w:rFonts w:ascii="Times New Roman" w:hAnsi="Times New Roman" w:cs="Times New Roman"/>
          <w:sz w:val="24"/>
          <w:szCs w:val="24"/>
          <w:lang w:val="ro-RO"/>
        </w:rPr>
        <w:t>umente în defavoarea condițiilor</w:t>
      </w:r>
      <w:r>
        <w:rPr>
          <w:rFonts w:ascii="Times New Roman" w:hAnsi="Times New Roman" w:cs="Times New Roman"/>
          <w:sz w:val="24"/>
          <w:szCs w:val="24"/>
          <w:lang w:val="ro-RO"/>
        </w:rPr>
        <w:t xml:space="preserve"> de înregistrare a unui candidat </w:t>
      </w:r>
      <w:r w:rsidR="00942348">
        <w:rPr>
          <w:rFonts w:ascii="Times New Roman" w:hAnsi="Times New Roman" w:cs="Times New Roman"/>
          <w:sz w:val="24"/>
          <w:szCs w:val="24"/>
          <w:lang w:val="ro-RO"/>
        </w:rPr>
        <w:t xml:space="preserve">este cel referitor la îngrădirea dreptului de a fi ales. </w:t>
      </w:r>
      <w:r w:rsidR="007F0D5F">
        <w:rPr>
          <w:rFonts w:ascii="Times New Roman" w:hAnsi="Times New Roman" w:cs="Times New Roman"/>
          <w:sz w:val="24"/>
          <w:szCs w:val="24"/>
          <w:lang w:val="ro-RO"/>
        </w:rPr>
        <w:t>Astfel, î</w:t>
      </w:r>
      <w:r w:rsidR="00550228" w:rsidRPr="00CE6E15">
        <w:rPr>
          <w:rFonts w:ascii="Times New Roman" w:hAnsi="Times New Roman" w:cs="Times New Roman"/>
          <w:sz w:val="24"/>
          <w:szCs w:val="24"/>
          <w:lang w:val="ro-RO"/>
        </w:rPr>
        <w:t>n Statele Unite ale Americii, în urma a două cazuri (</w:t>
      </w:r>
      <w:r w:rsidR="00550228" w:rsidRPr="00CE6E15">
        <w:rPr>
          <w:rFonts w:ascii="Times New Roman" w:hAnsi="Times New Roman" w:cs="Times New Roman"/>
          <w:color w:val="212121"/>
          <w:sz w:val="24"/>
          <w:szCs w:val="24"/>
          <w:shd w:val="clear" w:color="auto" w:fill="FFFFFF"/>
          <w:lang w:val="ro-RO"/>
        </w:rPr>
        <w:t xml:space="preserve">Bullock vs. Carter și Lubin vs. Panish), Curtea Supremă a declarat că depozitele în bani cerute candidaţiilor sunt neconstituționale, pentru că încalcă amendamentul 14 al Declaraţiei de Independenţă îngrădind dreptul cetăţenilor cu venituri mici să candideze la alegeri. Chiar și în urma acestei decizii, statele au păstrat în continuare legislaţiile privind necesitatea unui depozit cu menţiunea unei excepţii, aceea de a solicita candidatului să demostreze că are venituri mici şi astfel nefiindu-i cerută suma pentru depozitul în </w:t>
      </w:r>
      <w:r w:rsidR="001661A0">
        <w:rPr>
          <w:rFonts w:ascii="Times New Roman" w:hAnsi="Times New Roman" w:cs="Times New Roman"/>
          <w:color w:val="212121"/>
          <w:sz w:val="24"/>
          <w:szCs w:val="24"/>
          <w:shd w:val="clear" w:color="auto" w:fill="FFFFFF"/>
          <w:lang w:val="ro-RO"/>
        </w:rPr>
        <w:t>dolari</w:t>
      </w:r>
      <w:r w:rsidR="00550228" w:rsidRPr="00CE6E15">
        <w:rPr>
          <w:rFonts w:ascii="Times New Roman" w:hAnsi="Times New Roman" w:cs="Times New Roman"/>
          <w:color w:val="212121"/>
          <w:sz w:val="24"/>
          <w:szCs w:val="24"/>
          <w:shd w:val="clear" w:color="auto" w:fill="FFFFFF"/>
          <w:lang w:val="ro-RO"/>
        </w:rPr>
        <w:t>.</w:t>
      </w:r>
      <w:r w:rsidR="00550228" w:rsidRPr="00CE6E15">
        <w:rPr>
          <w:rStyle w:val="FootnoteReference"/>
          <w:rFonts w:ascii="Times New Roman" w:hAnsi="Times New Roman" w:cs="Times New Roman"/>
          <w:color w:val="212121"/>
          <w:sz w:val="24"/>
          <w:szCs w:val="24"/>
          <w:shd w:val="clear" w:color="auto" w:fill="FFFFFF"/>
          <w:lang w:val="ro-RO"/>
        </w:rPr>
        <w:footnoteReference w:id="11"/>
      </w:r>
      <w:r w:rsidR="00550228" w:rsidRPr="00CE6E15">
        <w:rPr>
          <w:rFonts w:ascii="Times New Roman" w:hAnsi="Times New Roman" w:cs="Times New Roman"/>
          <w:color w:val="212121"/>
          <w:sz w:val="24"/>
          <w:szCs w:val="24"/>
          <w:shd w:val="clear" w:color="auto" w:fill="FFFFFF"/>
          <w:lang w:val="ro-RO"/>
        </w:rPr>
        <w:t xml:space="preserve"> În unele cazuri, în schimbul depozitului, candidaților cu venituri mici li s-a solicitat </w:t>
      </w:r>
      <w:r w:rsidR="00550228" w:rsidRPr="00C30B34">
        <w:rPr>
          <w:rFonts w:ascii="Times New Roman" w:hAnsi="Times New Roman" w:cs="Times New Roman"/>
          <w:color w:val="212121"/>
          <w:sz w:val="24"/>
          <w:szCs w:val="24"/>
          <w:shd w:val="clear" w:color="auto" w:fill="FFFFFF"/>
          <w:lang w:val="ro-RO"/>
        </w:rPr>
        <w:t>un n</w:t>
      </w:r>
      <w:r w:rsidR="00E07DB2" w:rsidRPr="00C30B34">
        <w:rPr>
          <w:rFonts w:ascii="Times New Roman" w:hAnsi="Times New Roman" w:cs="Times New Roman"/>
          <w:color w:val="212121"/>
          <w:sz w:val="24"/>
          <w:szCs w:val="24"/>
          <w:shd w:val="clear" w:color="auto" w:fill="FFFFFF"/>
          <w:lang w:val="ro-RO"/>
        </w:rPr>
        <w:t xml:space="preserve">umăr de semnături, ceea ce a </w:t>
      </w:r>
      <w:r w:rsidR="00550228" w:rsidRPr="00C30B34">
        <w:rPr>
          <w:rFonts w:ascii="Times New Roman" w:hAnsi="Times New Roman" w:cs="Times New Roman"/>
          <w:color w:val="212121"/>
          <w:sz w:val="24"/>
          <w:szCs w:val="24"/>
          <w:shd w:val="clear" w:color="auto" w:fill="FFFFFF"/>
          <w:lang w:val="ro-RO"/>
        </w:rPr>
        <w:t xml:space="preserve">îngreunat și mai mult exercitarea dreptului de a fi ales, deoarece achitarea unei sume </w:t>
      </w:r>
      <w:r w:rsidR="00344DDD" w:rsidRPr="00C30B34">
        <w:rPr>
          <w:rFonts w:ascii="Times New Roman" w:hAnsi="Times New Roman" w:cs="Times New Roman"/>
          <w:color w:val="212121"/>
          <w:sz w:val="24"/>
          <w:szCs w:val="24"/>
          <w:shd w:val="clear" w:color="auto" w:fill="FFFFFF"/>
          <w:lang w:val="ro-RO"/>
        </w:rPr>
        <w:t xml:space="preserve">de bani este </w:t>
      </w:r>
      <w:r w:rsidR="00550228" w:rsidRPr="00C30B34">
        <w:rPr>
          <w:rFonts w:ascii="Times New Roman" w:hAnsi="Times New Roman" w:cs="Times New Roman"/>
          <w:color w:val="212121"/>
          <w:sz w:val="24"/>
          <w:szCs w:val="24"/>
          <w:shd w:val="clear" w:color="auto" w:fill="FFFFFF"/>
          <w:lang w:val="ro-RO"/>
        </w:rPr>
        <w:t xml:space="preserve">de preferat în fața strângerii de semnături. </w:t>
      </w:r>
      <w:r w:rsidR="00872E55" w:rsidRPr="00C30B34">
        <w:rPr>
          <w:rFonts w:ascii="Times New Roman" w:hAnsi="Times New Roman" w:cs="Times New Roman"/>
          <w:color w:val="212121"/>
          <w:sz w:val="24"/>
          <w:szCs w:val="24"/>
          <w:shd w:val="clear" w:color="auto" w:fill="FFFFFF"/>
          <w:lang w:val="ro-RO"/>
        </w:rPr>
        <w:t xml:space="preserve">Și autori ca </w:t>
      </w:r>
      <w:r w:rsidR="00C30B34" w:rsidRPr="00C30B34">
        <w:rPr>
          <w:rFonts w:asciiTheme="minorBidi" w:hAnsiTheme="minorBidi"/>
          <w:color w:val="000000" w:themeColor="text1"/>
          <w:sz w:val="24"/>
          <w:szCs w:val="24"/>
          <w:lang w:val="ro-RO"/>
        </w:rPr>
        <w:t>Gauja</w:t>
      </w:r>
      <w:r w:rsidR="006C7CBC" w:rsidRPr="00C30B34">
        <w:rPr>
          <w:rFonts w:ascii="Times New Roman" w:hAnsi="Times New Roman" w:cs="Times New Roman"/>
          <w:sz w:val="24"/>
          <w:szCs w:val="24"/>
          <w:lang w:val="ro-RO"/>
        </w:rPr>
        <w:t xml:space="preserve"> sugerează că un prag prea mare de intrare în cursa electorală pune sub semnul întrebării dreptul de a fi ales.</w:t>
      </w:r>
      <w:r w:rsidR="006C7CBC" w:rsidRPr="00C30B34">
        <w:rPr>
          <w:rStyle w:val="FootnoteReference"/>
          <w:rFonts w:ascii="Times New Roman" w:hAnsi="Times New Roman" w:cs="Times New Roman"/>
          <w:sz w:val="24"/>
          <w:szCs w:val="24"/>
          <w:lang w:val="ro-RO"/>
        </w:rPr>
        <w:footnoteReference w:id="12"/>
      </w:r>
      <w:r w:rsidR="006C7CBC" w:rsidRPr="00C30B34">
        <w:rPr>
          <w:rFonts w:ascii="Times New Roman" w:hAnsi="Times New Roman" w:cs="Times New Roman"/>
          <w:sz w:val="24"/>
          <w:szCs w:val="24"/>
          <w:lang w:val="ro-RO"/>
        </w:rPr>
        <w:t xml:space="preserve"> </w:t>
      </w:r>
      <w:r w:rsidR="0083517E" w:rsidRPr="00C30B34">
        <w:rPr>
          <w:rFonts w:ascii="Times New Roman" w:hAnsi="Times New Roman" w:cs="Times New Roman"/>
          <w:color w:val="212121"/>
          <w:sz w:val="24"/>
          <w:szCs w:val="24"/>
          <w:shd w:val="clear" w:color="auto" w:fill="FFFFFF"/>
          <w:lang w:val="ro-RO"/>
        </w:rPr>
        <w:t xml:space="preserve">Totuși, </w:t>
      </w:r>
      <w:r w:rsidR="008D73C0" w:rsidRPr="00C30B34">
        <w:rPr>
          <w:rFonts w:ascii="Times New Roman" w:hAnsi="Times New Roman" w:cs="Times New Roman"/>
          <w:color w:val="212121"/>
          <w:sz w:val="24"/>
          <w:szCs w:val="24"/>
          <w:shd w:val="clear" w:color="auto" w:fill="FFFFFF"/>
          <w:lang w:val="ro-RO"/>
        </w:rPr>
        <w:t xml:space="preserve">dreptul de a fi ales este afectat atunci când depozitele în bani sau numărul de semnături sunt prea mari. </w:t>
      </w:r>
      <w:r w:rsidR="00293FC2" w:rsidRPr="00C30B34">
        <w:rPr>
          <w:rFonts w:ascii="Times New Roman" w:hAnsi="Times New Roman" w:cs="Times New Roman"/>
          <w:sz w:val="24"/>
          <w:szCs w:val="24"/>
          <w:lang w:val="ro-RO"/>
        </w:rPr>
        <w:t xml:space="preserve"> </w:t>
      </w:r>
      <w:r w:rsidR="002D674E" w:rsidRPr="00C30B34">
        <w:rPr>
          <w:rFonts w:ascii="Times New Roman" w:hAnsi="Times New Roman" w:cs="Times New Roman"/>
          <w:sz w:val="24"/>
          <w:szCs w:val="24"/>
          <w:shd w:val="clear" w:color="auto" w:fill="FFFFFF"/>
          <w:lang w:val="ro-RO"/>
        </w:rPr>
        <w:t xml:space="preserve">  </w:t>
      </w:r>
    </w:p>
    <w:p w:rsidR="00422925" w:rsidRPr="003923AA" w:rsidRDefault="00F92ABC" w:rsidP="00316DDA">
      <w:pPr>
        <w:spacing w:after="0" w:line="240" w:lineRule="auto"/>
        <w:ind w:firstLine="720"/>
        <w:jc w:val="both"/>
        <w:rPr>
          <w:rFonts w:ascii="Times New Roman" w:hAnsi="Times New Roman" w:cs="Times New Roman"/>
          <w:sz w:val="24"/>
          <w:szCs w:val="24"/>
          <w:lang w:val="ro-RO"/>
        </w:rPr>
      </w:pPr>
      <w:r w:rsidRPr="00C30B34">
        <w:rPr>
          <w:rFonts w:ascii="Times New Roman" w:hAnsi="Times New Roman" w:cs="Times New Roman"/>
          <w:color w:val="212121"/>
          <w:sz w:val="24"/>
          <w:szCs w:val="24"/>
          <w:shd w:val="clear" w:color="auto" w:fill="FFFFFF"/>
          <w:lang w:val="ro-RO"/>
        </w:rPr>
        <w:t>Dintre</w:t>
      </w:r>
      <w:r>
        <w:rPr>
          <w:rFonts w:ascii="Times New Roman" w:hAnsi="Times New Roman" w:cs="Times New Roman"/>
          <w:color w:val="212121"/>
          <w:sz w:val="24"/>
          <w:szCs w:val="24"/>
          <w:shd w:val="clear" w:color="auto" w:fill="FFFFFF"/>
          <w:lang w:val="ro-RO"/>
        </w:rPr>
        <w:t xml:space="preserve"> efectele pozitive ale condițiilor mai dificile de acces la buletinul de vot p</w:t>
      </w:r>
      <w:r w:rsidR="00146AAB">
        <w:rPr>
          <w:rFonts w:ascii="Times New Roman" w:hAnsi="Times New Roman" w:cs="Times New Roman"/>
          <w:color w:val="212121"/>
          <w:sz w:val="24"/>
          <w:szCs w:val="24"/>
          <w:shd w:val="clear" w:color="auto" w:fill="FFFFFF"/>
          <w:lang w:val="ro-RO"/>
        </w:rPr>
        <w:t>entru candidați sunt cele referitoare la</w:t>
      </w:r>
      <w:r w:rsidR="00245CFA">
        <w:rPr>
          <w:rFonts w:ascii="Times New Roman" w:hAnsi="Times New Roman" w:cs="Times New Roman"/>
          <w:sz w:val="24"/>
          <w:szCs w:val="24"/>
          <w:lang w:val="ro-RO"/>
        </w:rPr>
        <w:t xml:space="preserve"> </w:t>
      </w:r>
      <w:r w:rsidR="00146AAB">
        <w:rPr>
          <w:rFonts w:ascii="Times New Roman" w:hAnsi="Times New Roman" w:cs="Times New Roman"/>
          <w:sz w:val="24"/>
          <w:szCs w:val="24"/>
          <w:lang w:val="ro-RO"/>
        </w:rPr>
        <w:t>calitatea</w:t>
      </w:r>
      <w:r w:rsidR="00C330B0" w:rsidRPr="004958D8">
        <w:rPr>
          <w:rFonts w:ascii="Times New Roman" w:hAnsi="Times New Roman" w:cs="Times New Roman"/>
          <w:sz w:val="24"/>
          <w:szCs w:val="24"/>
          <w:lang w:val="ro-RO"/>
        </w:rPr>
        <w:t xml:space="preserve"> candidaţilor. </w:t>
      </w:r>
      <w:r w:rsidR="00424D7A">
        <w:rPr>
          <w:rFonts w:ascii="Times New Roman" w:hAnsi="Times New Roman" w:cs="Times New Roman"/>
          <w:sz w:val="24"/>
          <w:szCs w:val="24"/>
          <w:lang w:val="ro-RO"/>
        </w:rPr>
        <w:t>A</w:t>
      </w:r>
      <w:r w:rsidR="00E47924" w:rsidRPr="00197E5B">
        <w:rPr>
          <w:rFonts w:ascii="Times New Roman" w:hAnsi="Times New Roman" w:cs="Times New Roman"/>
          <w:color w:val="212121"/>
          <w:sz w:val="24"/>
          <w:szCs w:val="24"/>
          <w:lang w:val="ro-RO"/>
        </w:rPr>
        <w:t xml:space="preserve">utorii care au studiat acest subiect sunt de părere că restricțiile de acces la buletinul de vot pentru candidați au în sine și o serie de beneficii. Astfel, ”candidații care sunt de calitate scăzută se pot dovedi incapabili să colecteze semnăturile electorale suficiente sau nu vor plăti depozitul solicitat. pentru a îndeplini cerințe sau nu </w:t>
      </w:r>
      <w:r w:rsidR="00E47924" w:rsidRPr="0036488C">
        <w:rPr>
          <w:rFonts w:ascii="Times New Roman" w:hAnsi="Times New Roman" w:cs="Times New Roman"/>
          <w:color w:val="212121"/>
          <w:sz w:val="24"/>
          <w:szCs w:val="24"/>
          <w:lang w:val="ro-RO"/>
        </w:rPr>
        <w:t xml:space="preserve">poate fi considerat util să plătească o taxă de înregistrare. În acest caz, accesul la vot restricțiile fac mai probabil ca acei candidați de calitate inferioară să nu apară pe buletinul de vot.” </w:t>
      </w:r>
      <w:r w:rsidR="00F41AC7">
        <w:rPr>
          <w:rFonts w:ascii="Times New Roman" w:hAnsi="Times New Roman" w:cs="Times New Roman"/>
          <w:color w:val="212121"/>
          <w:sz w:val="24"/>
          <w:szCs w:val="24"/>
          <w:lang w:val="ro-RO"/>
        </w:rPr>
        <w:t xml:space="preserve">(traducere proprie) </w:t>
      </w:r>
      <w:r w:rsidR="00E47924" w:rsidRPr="0036488C">
        <w:rPr>
          <w:rFonts w:ascii="Times New Roman" w:hAnsi="Times New Roman" w:cs="Times New Roman"/>
          <w:color w:val="212121"/>
          <w:sz w:val="24"/>
          <w:szCs w:val="24"/>
          <w:lang w:val="ro-RO"/>
        </w:rPr>
        <w:t>Al doilea beneficiu este pentru alegător, care este nevoit să se informeze cu privire la un număr mai mic de candidați, decât ar trebui să se informeze dacă nu ar exista restricții</w:t>
      </w:r>
      <w:r w:rsidR="00233427">
        <w:rPr>
          <w:rFonts w:ascii="Times New Roman" w:hAnsi="Times New Roman" w:cs="Times New Roman"/>
          <w:color w:val="212121"/>
          <w:sz w:val="24"/>
          <w:szCs w:val="24"/>
          <w:lang w:val="ro-RO"/>
        </w:rPr>
        <w:t xml:space="preserve"> și deci mai mulți candidați</w:t>
      </w:r>
      <w:r w:rsidR="00E47924" w:rsidRPr="0036488C">
        <w:rPr>
          <w:rFonts w:ascii="Times New Roman" w:hAnsi="Times New Roman" w:cs="Times New Roman"/>
          <w:color w:val="212121"/>
          <w:sz w:val="24"/>
          <w:szCs w:val="24"/>
          <w:lang w:val="ro-RO"/>
        </w:rPr>
        <w:t>.</w:t>
      </w:r>
      <w:r w:rsidR="00E47924" w:rsidRPr="0036488C">
        <w:rPr>
          <w:rStyle w:val="FootnoteReference"/>
          <w:rFonts w:ascii="Times New Roman" w:hAnsi="Times New Roman" w:cs="Times New Roman"/>
          <w:color w:val="212121"/>
          <w:sz w:val="24"/>
          <w:szCs w:val="24"/>
          <w:lang w:val="ro-RO"/>
        </w:rPr>
        <w:footnoteReference w:id="13"/>
      </w:r>
      <w:r w:rsidR="00E47924" w:rsidRPr="0036488C">
        <w:rPr>
          <w:rFonts w:ascii="Times New Roman" w:hAnsi="Times New Roman" w:cs="Times New Roman"/>
          <w:color w:val="212121"/>
          <w:sz w:val="24"/>
          <w:szCs w:val="24"/>
          <w:lang w:val="ro-RO"/>
        </w:rPr>
        <w:t xml:space="preserve"> </w:t>
      </w:r>
      <w:r w:rsidR="00E47924">
        <w:rPr>
          <w:rFonts w:ascii="Times New Roman" w:hAnsi="Times New Roman" w:cs="Times New Roman"/>
          <w:color w:val="212121"/>
          <w:sz w:val="24"/>
          <w:szCs w:val="24"/>
          <w:lang w:val="ro-RO"/>
        </w:rPr>
        <w:t xml:space="preserve">Nu în ultimul rând, există beneficii și pentru partide, care, </w:t>
      </w:r>
      <w:r w:rsidR="00E47924" w:rsidRPr="0036488C">
        <w:rPr>
          <w:rFonts w:ascii="Times New Roman" w:hAnsi="Times New Roman" w:cs="Times New Roman"/>
          <w:sz w:val="24"/>
          <w:szCs w:val="24"/>
          <w:lang w:val="ro-RO"/>
        </w:rPr>
        <w:t xml:space="preserve">forţate să </w:t>
      </w:r>
      <w:r w:rsidR="00233427">
        <w:rPr>
          <w:rFonts w:ascii="Times New Roman" w:hAnsi="Times New Roman" w:cs="Times New Roman"/>
          <w:sz w:val="24"/>
          <w:szCs w:val="24"/>
          <w:lang w:val="ro-RO"/>
        </w:rPr>
        <w:t xml:space="preserve">se </w:t>
      </w:r>
      <w:r w:rsidR="00E47924" w:rsidRPr="0036488C">
        <w:rPr>
          <w:rFonts w:ascii="Times New Roman" w:hAnsi="Times New Roman" w:cs="Times New Roman"/>
          <w:sz w:val="24"/>
          <w:szCs w:val="24"/>
          <w:lang w:val="ro-RO"/>
        </w:rPr>
        <w:t>organizeze p</w:t>
      </w:r>
      <w:r w:rsidR="007C1AF9">
        <w:rPr>
          <w:rFonts w:ascii="Times New Roman" w:hAnsi="Times New Roman" w:cs="Times New Roman"/>
          <w:sz w:val="24"/>
          <w:szCs w:val="24"/>
          <w:lang w:val="ro-RO"/>
        </w:rPr>
        <w:t xml:space="preserve">entru strângerea de semnături, </w:t>
      </w:r>
      <w:r w:rsidR="00E47924" w:rsidRPr="0036488C">
        <w:rPr>
          <w:rFonts w:ascii="Times New Roman" w:hAnsi="Times New Roman" w:cs="Times New Roman"/>
          <w:sz w:val="24"/>
          <w:szCs w:val="24"/>
          <w:lang w:val="ro-RO"/>
        </w:rPr>
        <w:t>se dezvoltă organizaţional şi îşi măresc şansele de a obţine voturi.</w:t>
      </w:r>
      <w:r w:rsidR="00E47924" w:rsidRPr="0036488C">
        <w:rPr>
          <w:rStyle w:val="FootnoteReference"/>
          <w:rFonts w:ascii="Times New Roman" w:hAnsi="Times New Roman" w:cs="Times New Roman"/>
          <w:sz w:val="24"/>
          <w:szCs w:val="24"/>
          <w:lang w:val="ro-RO"/>
        </w:rPr>
        <w:footnoteReference w:id="14"/>
      </w:r>
      <w:r w:rsidR="00F812E9">
        <w:rPr>
          <w:rFonts w:ascii="Times New Roman" w:hAnsi="Times New Roman" w:cs="Times New Roman"/>
          <w:sz w:val="24"/>
          <w:szCs w:val="24"/>
          <w:lang w:val="ro-RO"/>
        </w:rPr>
        <w:t>Adesea, argumentul te</w:t>
      </w:r>
      <w:r w:rsidR="00F812E9" w:rsidRPr="00F812E9">
        <w:rPr>
          <w:rFonts w:ascii="Times New Roman" w:hAnsi="Times New Roman" w:cs="Times New Roman"/>
          <w:sz w:val="24"/>
          <w:szCs w:val="24"/>
          <w:lang w:val="ro-RO"/>
        </w:rPr>
        <w:t>o</w:t>
      </w:r>
      <w:r w:rsidR="00F812E9">
        <w:rPr>
          <w:rFonts w:ascii="Times New Roman" w:hAnsi="Times New Roman" w:cs="Times New Roman"/>
          <w:sz w:val="24"/>
          <w:szCs w:val="24"/>
          <w:lang w:val="ro-RO"/>
        </w:rPr>
        <w:t>r</w:t>
      </w:r>
      <w:r w:rsidR="00F812E9" w:rsidRPr="00F812E9">
        <w:rPr>
          <w:rFonts w:ascii="Times New Roman" w:hAnsi="Times New Roman" w:cs="Times New Roman"/>
          <w:sz w:val="24"/>
          <w:szCs w:val="24"/>
          <w:lang w:val="ro-RO"/>
        </w:rPr>
        <w:t xml:space="preserve">etic în sprijinul unui acces impus de anumite condiții pentru a figura pe buletinul de vot este acela că </w:t>
      </w:r>
      <w:r w:rsidR="00F812E9">
        <w:rPr>
          <w:rFonts w:ascii="Times New Roman" w:hAnsi="Times New Roman" w:cs="Times New Roman"/>
          <w:color w:val="212121"/>
          <w:sz w:val="24"/>
          <w:szCs w:val="24"/>
          <w:lang w:val="ro-RO"/>
        </w:rPr>
        <w:t>”u</w:t>
      </w:r>
      <w:r w:rsidR="00F812E9" w:rsidRPr="00F812E9">
        <w:rPr>
          <w:rFonts w:ascii="Times New Roman" w:hAnsi="Times New Roman" w:cs="Times New Roman"/>
          <w:color w:val="212121"/>
          <w:sz w:val="24"/>
          <w:szCs w:val="24"/>
          <w:lang w:val="ro-RO"/>
        </w:rPr>
        <w:t xml:space="preserve">n sistem de partid atomizat </w:t>
      </w:r>
      <w:r w:rsidR="00F812E9" w:rsidRPr="00CE6E15">
        <w:rPr>
          <w:rFonts w:ascii="Times New Roman" w:hAnsi="Times New Roman" w:cs="Times New Roman"/>
          <w:color w:val="212121"/>
          <w:sz w:val="24"/>
          <w:szCs w:val="24"/>
          <w:lang w:val="ro-RO"/>
        </w:rPr>
        <w:t xml:space="preserve">ar conduce probabil la instabilitate guvernamentală și la </w:t>
      </w:r>
      <w:r w:rsidR="00A360AA" w:rsidRPr="00CE6E15">
        <w:rPr>
          <w:rFonts w:ascii="Times New Roman" w:hAnsi="Times New Roman" w:cs="Times New Roman"/>
          <w:color w:val="212121"/>
          <w:sz w:val="24"/>
          <w:szCs w:val="24"/>
          <w:lang w:val="ro-RO"/>
        </w:rPr>
        <w:t xml:space="preserve">insuficientă </w:t>
      </w:r>
      <w:r w:rsidR="00F812E9" w:rsidRPr="00CE6E15">
        <w:rPr>
          <w:rFonts w:ascii="Times New Roman" w:hAnsi="Times New Roman" w:cs="Times New Roman"/>
          <w:color w:val="212121"/>
          <w:sz w:val="24"/>
          <w:szCs w:val="24"/>
          <w:lang w:val="ro-RO"/>
        </w:rPr>
        <w:t>capacitate de soluționare a problemelor politice</w:t>
      </w:r>
      <w:r w:rsidR="004D720E">
        <w:rPr>
          <w:rFonts w:ascii="Times New Roman" w:hAnsi="Times New Roman" w:cs="Times New Roman"/>
          <w:color w:val="212121"/>
          <w:sz w:val="24"/>
          <w:szCs w:val="24"/>
          <w:lang w:val="ro-RO"/>
        </w:rPr>
        <w:t>.</w:t>
      </w:r>
      <w:r w:rsidR="00F812E9" w:rsidRPr="00CE6E15">
        <w:rPr>
          <w:rFonts w:ascii="Times New Roman" w:hAnsi="Times New Roman" w:cs="Times New Roman"/>
          <w:color w:val="212121"/>
          <w:sz w:val="24"/>
          <w:szCs w:val="24"/>
          <w:lang w:val="ro-RO"/>
        </w:rPr>
        <w:t>”</w:t>
      </w:r>
      <w:r w:rsidR="00F812E9" w:rsidRPr="00CE6E15">
        <w:rPr>
          <w:rStyle w:val="FootnoteReference"/>
          <w:rFonts w:ascii="Times New Roman" w:hAnsi="Times New Roman" w:cs="Times New Roman"/>
          <w:color w:val="212121"/>
          <w:sz w:val="24"/>
          <w:szCs w:val="24"/>
          <w:lang w:val="ro-RO"/>
        </w:rPr>
        <w:footnoteReference w:id="15"/>
      </w:r>
      <w:r w:rsidR="00316DDA">
        <w:rPr>
          <w:rFonts w:ascii="Times New Roman" w:hAnsi="Times New Roman" w:cs="Times New Roman"/>
          <w:sz w:val="24"/>
          <w:szCs w:val="24"/>
          <w:lang w:val="ro-RO"/>
        </w:rPr>
        <w:t xml:space="preserve"> </w:t>
      </w:r>
      <w:r w:rsidR="00422925" w:rsidRPr="003923AA">
        <w:rPr>
          <w:rFonts w:ascii="Times New Roman" w:hAnsi="Times New Roman" w:cs="Times New Roman"/>
          <w:sz w:val="24"/>
          <w:szCs w:val="24"/>
          <w:lang w:val="ro-RO"/>
        </w:rPr>
        <w:t>Aşa cum arată şi Lee (2011), atunci când cerinţele sunt mai laxe, partidele mici (de tipul a treilea partid</w:t>
      </w:r>
      <w:r w:rsidR="00433839">
        <w:rPr>
          <w:rFonts w:ascii="Times New Roman" w:hAnsi="Times New Roman" w:cs="Times New Roman"/>
          <w:sz w:val="24"/>
          <w:szCs w:val="24"/>
          <w:lang w:val="ro-RO"/>
        </w:rPr>
        <w:t xml:space="preserve"> – </w:t>
      </w:r>
      <w:r w:rsidR="00433839" w:rsidRPr="00433839">
        <w:rPr>
          <w:rFonts w:ascii="Times New Roman" w:hAnsi="Times New Roman" w:cs="Times New Roman"/>
          <w:i/>
          <w:iCs/>
          <w:sz w:val="24"/>
          <w:szCs w:val="24"/>
          <w:lang w:val="ro-RO"/>
        </w:rPr>
        <w:t>third party</w:t>
      </w:r>
      <w:r w:rsidR="00422925" w:rsidRPr="003923AA">
        <w:rPr>
          <w:rFonts w:ascii="Times New Roman" w:hAnsi="Times New Roman" w:cs="Times New Roman"/>
          <w:sz w:val="24"/>
          <w:szCs w:val="24"/>
          <w:lang w:val="ro-RO"/>
        </w:rPr>
        <w:t>) au şanse mai mari să fie pe buletinul de vot, însă atunci când cerinţele sunt mai restrictive, partidele mici tind să obţină mai multe voturi.</w:t>
      </w:r>
      <w:r w:rsidR="00422925" w:rsidRPr="003923AA">
        <w:rPr>
          <w:rStyle w:val="FootnoteReference"/>
          <w:rFonts w:ascii="Times New Roman" w:hAnsi="Times New Roman" w:cs="Times New Roman"/>
          <w:sz w:val="24"/>
          <w:szCs w:val="24"/>
          <w:lang w:val="ro-RO"/>
        </w:rPr>
        <w:footnoteReference w:id="16"/>
      </w:r>
      <w:r w:rsidR="00422925" w:rsidRPr="003923AA">
        <w:rPr>
          <w:rFonts w:ascii="Times New Roman" w:hAnsi="Times New Roman" w:cs="Times New Roman"/>
          <w:sz w:val="24"/>
          <w:szCs w:val="24"/>
          <w:lang w:val="ro-RO"/>
        </w:rPr>
        <w:t xml:space="preserve"> </w:t>
      </w:r>
    </w:p>
    <w:p w:rsidR="00293FC2" w:rsidRDefault="004450F2" w:rsidP="004450F2">
      <w:pPr>
        <w:autoSpaceDE w:val="0"/>
        <w:autoSpaceDN w:val="0"/>
        <w:adjustRightInd w:val="0"/>
        <w:spacing w:after="0" w:line="240" w:lineRule="auto"/>
        <w:ind w:firstLine="720"/>
        <w:jc w:val="both"/>
        <w:rPr>
          <w:rFonts w:asciiTheme="minorBidi" w:hAnsiTheme="minorBidi"/>
          <w:sz w:val="24"/>
          <w:szCs w:val="24"/>
          <w:lang w:val="ro-RO"/>
        </w:rPr>
      </w:pPr>
      <w:r>
        <w:rPr>
          <w:rFonts w:asciiTheme="minorBidi" w:hAnsiTheme="minorBidi"/>
          <w:sz w:val="24"/>
          <w:szCs w:val="24"/>
          <w:lang w:val="ro-RO"/>
        </w:rPr>
        <w:t>Nu în ultimul rând, e</w:t>
      </w:r>
      <w:r w:rsidR="00293FC2">
        <w:rPr>
          <w:rFonts w:asciiTheme="minorBidi" w:hAnsiTheme="minorBidi"/>
          <w:sz w:val="24"/>
          <w:szCs w:val="24"/>
          <w:lang w:val="ro-RO"/>
        </w:rPr>
        <w:t xml:space="preserve">xistă </w:t>
      </w:r>
      <w:r>
        <w:rPr>
          <w:rFonts w:asciiTheme="minorBidi" w:hAnsiTheme="minorBidi"/>
          <w:sz w:val="24"/>
          <w:szCs w:val="24"/>
          <w:lang w:val="ro-RO"/>
        </w:rPr>
        <w:t xml:space="preserve"> și </w:t>
      </w:r>
      <w:r w:rsidR="00293FC2">
        <w:rPr>
          <w:rFonts w:asciiTheme="minorBidi" w:hAnsiTheme="minorBidi"/>
          <w:sz w:val="24"/>
          <w:szCs w:val="24"/>
          <w:lang w:val="ro-RO"/>
        </w:rPr>
        <w:t>autori neutri, care nu au găsit dovezi consistente în privința unei relații între numărului mic de partide și bariere ridicate de acces la competiția politică.</w:t>
      </w:r>
      <w:r w:rsidR="00293FC2">
        <w:rPr>
          <w:rStyle w:val="FootnoteReference"/>
          <w:rFonts w:asciiTheme="minorBidi" w:hAnsiTheme="minorBidi"/>
          <w:sz w:val="24"/>
          <w:szCs w:val="24"/>
          <w:lang w:val="ro-RO"/>
        </w:rPr>
        <w:footnoteReference w:id="17"/>
      </w:r>
      <w:r w:rsidR="00E64A01">
        <w:rPr>
          <w:rFonts w:asciiTheme="minorBidi" w:hAnsiTheme="minorBidi"/>
          <w:sz w:val="24"/>
          <w:szCs w:val="24"/>
          <w:lang w:val="ro-RO"/>
        </w:rPr>
        <w:t xml:space="preserve"> </w:t>
      </w:r>
    </w:p>
    <w:p w:rsidR="00DB3CD5" w:rsidRPr="00DB3CD5" w:rsidRDefault="00DB3CD5" w:rsidP="00CD2F83">
      <w:pPr>
        <w:autoSpaceDE w:val="0"/>
        <w:autoSpaceDN w:val="0"/>
        <w:adjustRightInd w:val="0"/>
        <w:spacing w:after="0" w:line="240" w:lineRule="auto"/>
        <w:ind w:firstLine="720"/>
        <w:jc w:val="both"/>
        <w:rPr>
          <w:rFonts w:ascii="Times New Roman" w:hAnsi="Times New Roman" w:cs="Times New Roman"/>
          <w:sz w:val="24"/>
          <w:szCs w:val="24"/>
          <w:lang w:val="ro-RO"/>
        </w:rPr>
      </w:pPr>
      <w:r w:rsidRPr="00DB3CD5">
        <w:rPr>
          <w:rFonts w:ascii="Times New Roman" w:hAnsi="Times New Roman" w:cs="Times New Roman"/>
          <w:sz w:val="24"/>
          <w:szCs w:val="24"/>
          <w:lang w:val="ro-RO"/>
        </w:rPr>
        <w:lastRenderedPageBreak/>
        <w:t xml:space="preserve">A impune restrictii majore privind </w:t>
      </w:r>
      <w:r>
        <w:rPr>
          <w:rFonts w:ascii="Times New Roman" w:hAnsi="Times New Roman" w:cs="Times New Roman"/>
          <w:sz w:val="24"/>
          <w:szCs w:val="24"/>
          <w:lang w:val="ro-RO"/>
        </w:rPr>
        <w:t xml:space="preserve">accesul pe listele electrorale este </w:t>
      </w:r>
      <w:r w:rsidRPr="00DB3CD5">
        <w:rPr>
          <w:rFonts w:ascii="Times New Roman" w:hAnsi="Times New Roman" w:cs="Times New Roman"/>
          <w:sz w:val="24"/>
          <w:szCs w:val="24"/>
          <w:lang w:val="ro-RO"/>
        </w:rPr>
        <w:t xml:space="preserve">ca şi cum </w:t>
      </w:r>
      <w:r>
        <w:rPr>
          <w:rFonts w:ascii="Times New Roman" w:hAnsi="Times New Roman" w:cs="Times New Roman"/>
          <w:sz w:val="24"/>
          <w:szCs w:val="24"/>
          <w:lang w:val="ro-RO"/>
        </w:rPr>
        <w:t>s-</w:t>
      </w:r>
      <w:r w:rsidRPr="00DB3CD5">
        <w:rPr>
          <w:rFonts w:ascii="Times New Roman" w:hAnsi="Times New Roman" w:cs="Times New Roman"/>
          <w:sz w:val="24"/>
          <w:szCs w:val="24"/>
          <w:lang w:val="ro-RO"/>
        </w:rPr>
        <w:t xml:space="preserve">ar </w:t>
      </w:r>
      <w:r>
        <w:rPr>
          <w:rFonts w:ascii="Times New Roman" w:hAnsi="Times New Roman" w:cs="Times New Roman"/>
          <w:sz w:val="24"/>
          <w:szCs w:val="24"/>
          <w:lang w:val="ro-RO"/>
        </w:rPr>
        <w:t>impune o selecție pre-</w:t>
      </w:r>
      <w:r w:rsidRPr="00DB3CD5">
        <w:rPr>
          <w:rFonts w:ascii="Times New Roman" w:hAnsi="Times New Roman" w:cs="Times New Roman"/>
          <w:sz w:val="24"/>
          <w:szCs w:val="24"/>
          <w:lang w:val="ro-RO"/>
        </w:rPr>
        <w:t>electoral</w:t>
      </w:r>
      <w:r>
        <w:rPr>
          <w:rFonts w:ascii="Times New Roman" w:hAnsi="Times New Roman" w:cs="Times New Roman"/>
          <w:sz w:val="24"/>
          <w:szCs w:val="24"/>
          <w:lang w:val="ro-RO"/>
        </w:rPr>
        <w:t>ă și</w:t>
      </w:r>
      <w:r w:rsidR="00B94FC6">
        <w:rPr>
          <w:rFonts w:ascii="Times New Roman" w:hAnsi="Times New Roman" w:cs="Times New Roman"/>
          <w:sz w:val="24"/>
          <w:szCs w:val="24"/>
          <w:lang w:val="ro-RO"/>
        </w:rPr>
        <w:t xml:space="preserve"> presupune o viziune asupra alegerilor</w:t>
      </w:r>
      <w:r w:rsidRPr="00DB3CD5">
        <w:rPr>
          <w:rFonts w:ascii="Times New Roman" w:hAnsi="Times New Roman" w:cs="Times New Roman"/>
          <w:sz w:val="24"/>
          <w:szCs w:val="24"/>
          <w:lang w:val="ro-RO"/>
        </w:rPr>
        <w:t xml:space="preserve"> strict din </w:t>
      </w:r>
      <w:r w:rsidR="000C26D4">
        <w:rPr>
          <w:rFonts w:ascii="Times New Roman" w:hAnsi="Times New Roman" w:cs="Times New Roman"/>
          <w:sz w:val="24"/>
          <w:szCs w:val="24"/>
          <w:lang w:val="ro-RO"/>
        </w:rPr>
        <w:t xml:space="preserve">perspectiva </w:t>
      </w:r>
      <w:r w:rsidRPr="00DB3CD5">
        <w:rPr>
          <w:rFonts w:ascii="Times New Roman" w:hAnsi="Times New Roman" w:cs="Times New Roman"/>
          <w:sz w:val="24"/>
          <w:szCs w:val="24"/>
          <w:lang w:val="ro-RO"/>
        </w:rPr>
        <w:t xml:space="preserve">câştigului, </w:t>
      </w:r>
      <w:r w:rsidR="00B63E75">
        <w:rPr>
          <w:rFonts w:ascii="Times New Roman" w:hAnsi="Times New Roman" w:cs="Times New Roman"/>
          <w:sz w:val="24"/>
          <w:szCs w:val="24"/>
          <w:lang w:val="ro-RO"/>
        </w:rPr>
        <w:t xml:space="preserve">deci </w:t>
      </w:r>
      <w:r w:rsidRPr="00DB3CD5">
        <w:rPr>
          <w:rFonts w:ascii="Times New Roman" w:hAnsi="Times New Roman" w:cs="Times New Roman"/>
          <w:sz w:val="24"/>
          <w:szCs w:val="24"/>
          <w:lang w:val="ro-RO"/>
        </w:rPr>
        <w:t xml:space="preserve">a candida doar pentru a caştiga, însă alegerile pot fi văzute ca reale prilejuri de a dezbate perspective diferite asupra guvernării, asupra </w:t>
      </w:r>
      <w:r w:rsidR="00F445E2">
        <w:rPr>
          <w:rFonts w:ascii="Times New Roman" w:hAnsi="Times New Roman" w:cs="Times New Roman"/>
          <w:sz w:val="24"/>
          <w:szCs w:val="24"/>
          <w:lang w:val="ro-RO"/>
        </w:rPr>
        <w:t xml:space="preserve">a </w:t>
      </w:r>
      <w:r w:rsidRPr="00DB3CD5">
        <w:rPr>
          <w:rFonts w:ascii="Times New Roman" w:hAnsi="Times New Roman" w:cs="Times New Roman"/>
          <w:sz w:val="24"/>
          <w:szCs w:val="24"/>
          <w:lang w:val="ro-RO"/>
        </w:rPr>
        <w:t>cum trebuie guvernat un polis, nu doar competiţie sub dictonul „totul sau nimic.” Un competitor politic poate ca</w:t>
      </w:r>
      <w:r>
        <w:rPr>
          <w:rFonts w:ascii="Times New Roman" w:hAnsi="Times New Roman" w:cs="Times New Roman"/>
          <w:sz w:val="24"/>
          <w:szCs w:val="24"/>
          <w:lang w:val="ro-RO"/>
        </w:rPr>
        <w:t>n</w:t>
      </w:r>
      <w:r w:rsidRPr="00DB3CD5">
        <w:rPr>
          <w:rFonts w:ascii="Times New Roman" w:hAnsi="Times New Roman" w:cs="Times New Roman"/>
          <w:sz w:val="24"/>
          <w:szCs w:val="24"/>
          <w:lang w:val="ro-RO"/>
        </w:rPr>
        <w:t xml:space="preserve">dida pentru a se face cunoscut ca şi actor electoral, cu speranţa unui scor </w:t>
      </w:r>
      <w:r w:rsidR="002803BD">
        <w:rPr>
          <w:rFonts w:ascii="Times New Roman" w:hAnsi="Times New Roman" w:cs="Times New Roman"/>
          <w:sz w:val="24"/>
          <w:szCs w:val="24"/>
          <w:lang w:val="ro-RO"/>
        </w:rPr>
        <w:t xml:space="preserve">mai bun la următoarele alegeri. Această viziune </w:t>
      </w:r>
      <w:r w:rsidR="005C1122">
        <w:rPr>
          <w:rFonts w:ascii="Times New Roman" w:hAnsi="Times New Roman" w:cs="Times New Roman"/>
          <w:sz w:val="24"/>
          <w:szCs w:val="24"/>
          <w:lang w:val="ro-RO"/>
        </w:rPr>
        <w:t xml:space="preserve">presupune a vedea </w:t>
      </w:r>
      <w:r w:rsidR="00662283">
        <w:rPr>
          <w:rFonts w:ascii="Times New Roman" w:hAnsi="Times New Roman" w:cs="Times New Roman"/>
          <w:sz w:val="24"/>
          <w:szCs w:val="24"/>
          <w:lang w:val="ro-RO"/>
        </w:rPr>
        <w:t xml:space="preserve">alegerile electorale drept o </w:t>
      </w:r>
      <w:r w:rsidRPr="00DB3CD5">
        <w:rPr>
          <w:rFonts w:ascii="Times New Roman" w:hAnsi="Times New Roman" w:cs="Times New Roman"/>
          <w:sz w:val="24"/>
          <w:szCs w:val="24"/>
          <w:lang w:val="ro-RO"/>
        </w:rPr>
        <w:t xml:space="preserve">oportunitate pentru </w:t>
      </w:r>
      <w:r w:rsidR="00DF0A0B">
        <w:rPr>
          <w:rFonts w:ascii="Times New Roman" w:hAnsi="Times New Roman" w:cs="Times New Roman"/>
          <w:sz w:val="24"/>
          <w:szCs w:val="24"/>
          <w:lang w:val="ro-RO"/>
        </w:rPr>
        <w:t xml:space="preserve">partide de a se face cunoscute și </w:t>
      </w:r>
      <w:r>
        <w:rPr>
          <w:rFonts w:ascii="Times New Roman" w:hAnsi="Times New Roman" w:cs="Times New Roman"/>
          <w:sz w:val="24"/>
          <w:szCs w:val="24"/>
          <w:lang w:val="ro-RO"/>
        </w:rPr>
        <w:t>de a intra într-</w:t>
      </w:r>
      <w:r w:rsidRPr="00DB3CD5">
        <w:rPr>
          <w:rFonts w:ascii="Times New Roman" w:hAnsi="Times New Roman" w:cs="Times New Roman"/>
          <w:sz w:val="24"/>
          <w:szCs w:val="24"/>
          <w:lang w:val="ro-RO"/>
        </w:rPr>
        <w:t>o competiţie a programelor electorale.</w:t>
      </w:r>
      <w:r w:rsidR="006D7800">
        <w:rPr>
          <w:rFonts w:ascii="Times New Roman" w:hAnsi="Times New Roman" w:cs="Times New Roman"/>
          <w:sz w:val="24"/>
          <w:szCs w:val="24"/>
          <w:lang w:val="ro-RO"/>
        </w:rPr>
        <w:t xml:space="preserve"> Nu </w:t>
      </w:r>
      <w:r w:rsidR="00187D01">
        <w:rPr>
          <w:rFonts w:ascii="Times New Roman" w:hAnsi="Times New Roman" w:cs="Times New Roman"/>
          <w:sz w:val="24"/>
          <w:szCs w:val="24"/>
          <w:lang w:val="ro-RO"/>
        </w:rPr>
        <w:t>orice actor care</w:t>
      </w:r>
      <w:r w:rsidR="006D7800">
        <w:rPr>
          <w:rFonts w:ascii="Times New Roman" w:hAnsi="Times New Roman" w:cs="Times New Roman"/>
          <w:sz w:val="24"/>
          <w:szCs w:val="24"/>
          <w:lang w:val="ro-RO"/>
        </w:rPr>
        <w:t xml:space="preserve"> intră în competiție </w:t>
      </w:r>
      <w:r w:rsidR="00187D01">
        <w:rPr>
          <w:rFonts w:ascii="Times New Roman" w:hAnsi="Times New Roman" w:cs="Times New Roman"/>
          <w:sz w:val="24"/>
          <w:szCs w:val="24"/>
          <w:lang w:val="ro-RO"/>
        </w:rPr>
        <w:t>câștigă acea competiție, însă, în general, o competiție devină mai bună, impunând competitorilor să își depășească limitele</w:t>
      </w:r>
      <w:r w:rsidR="006A4309">
        <w:rPr>
          <w:rFonts w:ascii="Times New Roman" w:hAnsi="Times New Roman" w:cs="Times New Roman"/>
          <w:sz w:val="24"/>
          <w:szCs w:val="24"/>
          <w:lang w:val="ro-RO"/>
        </w:rPr>
        <w:t>,</w:t>
      </w:r>
      <w:r w:rsidR="00187D01">
        <w:rPr>
          <w:rFonts w:ascii="Times New Roman" w:hAnsi="Times New Roman" w:cs="Times New Roman"/>
          <w:sz w:val="24"/>
          <w:szCs w:val="24"/>
          <w:lang w:val="ro-RO"/>
        </w:rPr>
        <w:t xml:space="preserve"> dacă </w:t>
      </w:r>
      <w:r w:rsidR="0028752A">
        <w:rPr>
          <w:rFonts w:ascii="Times New Roman" w:hAnsi="Times New Roman" w:cs="Times New Roman"/>
          <w:sz w:val="24"/>
          <w:szCs w:val="24"/>
          <w:lang w:val="ro-RO"/>
        </w:rPr>
        <w:t xml:space="preserve">are mai mulți conpetitori. </w:t>
      </w:r>
    </w:p>
    <w:p w:rsidR="00CD2F83" w:rsidRDefault="00CD2F83" w:rsidP="002566BB">
      <w:pPr>
        <w:spacing w:after="0" w:line="240" w:lineRule="auto"/>
        <w:rPr>
          <w:rFonts w:ascii="Times New Roman" w:hAnsi="Times New Roman" w:cs="Times New Roman"/>
          <w:b/>
          <w:sz w:val="24"/>
          <w:szCs w:val="24"/>
          <w:lang w:val="ro-RO"/>
        </w:rPr>
      </w:pPr>
    </w:p>
    <w:p w:rsidR="003761F0" w:rsidRPr="00CD2F83" w:rsidRDefault="00E62C20" w:rsidP="006D02E1">
      <w:pPr>
        <w:pStyle w:val="ListParagraph"/>
        <w:numPr>
          <w:ilvl w:val="0"/>
          <w:numId w:val="9"/>
        </w:numPr>
        <w:spacing w:after="0" w:line="240" w:lineRule="auto"/>
        <w:jc w:val="both"/>
        <w:rPr>
          <w:rFonts w:ascii="Times New Roman" w:hAnsi="Times New Roman" w:cs="Times New Roman"/>
          <w:b/>
          <w:sz w:val="24"/>
          <w:szCs w:val="24"/>
          <w:lang w:val="ro-RO"/>
        </w:rPr>
      </w:pPr>
      <w:r w:rsidRPr="00CD2F83">
        <w:rPr>
          <w:rFonts w:ascii="Times New Roman" w:hAnsi="Times New Roman" w:cs="Times New Roman"/>
          <w:b/>
          <w:sz w:val="24"/>
          <w:szCs w:val="24"/>
          <w:lang w:val="ro-RO"/>
        </w:rPr>
        <w:t xml:space="preserve">Cadrul legal privind alegerile europene stabilit de către </w:t>
      </w:r>
      <w:r w:rsidR="00351B7E" w:rsidRPr="00CD2F83">
        <w:rPr>
          <w:rFonts w:ascii="Times New Roman" w:hAnsi="Times New Roman" w:cs="Times New Roman"/>
          <w:b/>
          <w:sz w:val="24"/>
          <w:szCs w:val="24"/>
          <w:lang w:val="ro-RO"/>
        </w:rPr>
        <w:t>instituțiile Uniunii</w:t>
      </w:r>
      <w:r w:rsidRPr="00CD2F83">
        <w:rPr>
          <w:rFonts w:ascii="Times New Roman" w:hAnsi="Times New Roman" w:cs="Times New Roman"/>
          <w:b/>
          <w:sz w:val="24"/>
          <w:szCs w:val="24"/>
          <w:lang w:val="ro-RO"/>
        </w:rPr>
        <w:t xml:space="preserve"> Eu</w:t>
      </w:r>
      <w:r w:rsidR="00351B7E" w:rsidRPr="00CD2F83">
        <w:rPr>
          <w:rFonts w:ascii="Times New Roman" w:hAnsi="Times New Roman" w:cs="Times New Roman"/>
          <w:b/>
          <w:sz w:val="24"/>
          <w:szCs w:val="24"/>
          <w:lang w:val="ro-RO"/>
        </w:rPr>
        <w:t>ropene</w:t>
      </w:r>
      <w:r w:rsidR="003761F0" w:rsidRPr="00CD2F83">
        <w:rPr>
          <w:rFonts w:ascii="Times New Roman" w:hAnsi="Times New Roman" w:cs="Times New Roman"/>
          <w:b/>
          <w:sz w:val="24"/>
          <w:szCs w:val="24"/>
          <w:lang w:val="ro-RO"/>
        </w:rPr>
        <w:t xml:space="preserve"> </w:t>
      </w:r>
    </w:p>
    <w:p w:rsidR="00A70BAE" w:rsidRDefault="007B65AE" w:rsidP="002566BB">
      <w:pPr>
        <w:pStyle w:val="HTMLPreformatted"/>
        <w:shd w:val="clear" w:color="auto" w:fill="FFFFFF"/>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ab/>
      </w:r>
    </w:p>
    <w:p w:rsidR="00814810" w:rsidRPr="00A70BAE" w:rsidRDefault="00A70BAE" w:rsidP="002566BB">
      <w:pPr>
        <w:pStyle w:val="HTMLPreformatted"/>
        <w:shd w:val="clear" w:color="auto" w:fill="FFFFFF"/>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445DD4" w:rsidRPr="005B0FD8">
        <w:rPr>
          <w:rFonts w:ascii="Times New Roman" w:hAnsi="Times New Roman" w:cs="Times New Roman"/>
          <w:sz w:val="24"/>
          <w:szCs w:val="24"/>
          <w:lang w:val="ro-RO"/>
        </w:rPr>
        <w:t xml:space="preserve">Inițial, </w:t>
      </w:r>
      <w:r w:rsidR="007B65AE" w:rsidRPr="005B0FD8">
        <w:rPr>
          <w:rFonts w:ascii="Times New Roman" w:hAnsi="Times New Roman" w:cs="Times New Roman"/>
          <w:sz w:val="24"/>
          <w:szCs w:val="24"/>
          <w:lang w:val="ro-RO"/>
        </w:rPr>
        <w:t>în U</w:t>
      </w:r>
      <w:r w:rsidR="00760318">
        <w:rPr>
          <w:rFonts w:ascii="Times New Roman" w:hAnsi="Times New Roman" w:cs="Times New Roman"/>
          <w:sz w:val="24"/>
          <w:szCs w:val="24"/>
          <w:lang w:val="ro-RO"/>
        </w:rPr>
        <w:t xml:space="preserve">niunea </w:t>
      </w:r>
      <w:r w:rsidR="007B65AE" w:rsidRPr="005B0FD8">
        <w:rPr>
          <w:rFonts w:ascii="Times New Roman" w:hAnsi="Times New Roman" w:cs="Times New Roman"/>
          <w:sz w:val="24"/>
          <w:szCs w:val="24"/>
          <w:lang w:val="ro-RO"/>
        </w:rPr>
        <w:t>E</w:t>
      </w:r>
      <w:r w:rsidR="00760318">
        <w:rPr>
          <w:rFonts w:ascii="Times New Roman" w:hAnsi="Times New Roman" w:cs="Times New Roman"/>
          <w:sz w:val="24"/>
          <w:szCs w:val="24"/>
          <w:lang w:val="ro-RO"/>
        </w:rPr>
        <w:t>uropeană</w:t>
      </w:r>
      <w:r w:rsidR="007B65AE" w:rsidRPr="005B0FD8">
        <w:rPr>
          <w:rFonts w:ascii="Times New Roman" w:hAnsi="Times New Roman" w:cs="Times New Roman"/>
          <w:sz w:val="24"/>
          <w:szCs w:val="24"/>
          <w:lang w:val="ro-RO"/>
        </w:rPr>
        <w:t xml:space="preserve">, </w:t>
      </w:r>
      <w:r w:rsidR="00445DD4" w:rsidRPr="005B0FD8">
        <w:rPr>
          <w:rFonts w:ascii="Times New Roman" w:hAnsi="Times New Roman" w:cs="Times New Roman"/>
          <w:sz w:val="24"/>
          <w:szCs w:val="24"/>
          <w:lang w:val="ro-RO"/>
        </w:rPr>
        <w:t>era prevăzut ca membrii Parlamentului Europen</w:t>
      </w:r>
      <w:r w:rsidR="00796636">
        <w:rPr>
          <w:rFonts w:ascii="Times New Roman" w:hAnsi="Times New Roman" w:cs="Times New Roman"/>
          <w:sz w:val="24"/>
          <w:szCs w:val="24"/>
          <w:lang w:val="ro-RO"/>
        </w:rPr>
        <w:t>e</w:t>
      </w:r>
      <w:r w:rsidR="00445DD4" w:rsidRPr="005B0FD8">
        <w:rPr>
          <w:rFonts w:ascii="Times New Roman" w:hAnsi="Times New Roman" w:cs="Times New Roman"/>
          <w:sz w:val="24"/>
          <w:szCs w:val="24"/>
          <w:lang w:val="ro-RO"/>
        </w:rPr>
        <w:t xml:space="preserve"> </w:t>
      </w:r>
      <w:r w:rsidR="00657E7A" w:rsidRPr="005B0FD8">
        <w:rPr>
          <w:rFonts w:ascii="Times New Roman" w:hAnsi="Times New Roman" w:cs="Times New Roman"/>
          <w:sz w:val="24"/>
          <w:szCs w:val="24"/>
          <w:lang w:val="ro-RO"/>
        </w:rPr>
        <w:t>să fie numiți de către parlamentele naționale, însă</w:t>
      </w:r>
      <w:r w:rsidR="00352FDA" w:rsidRPr="005B0FD8">
        <w:rPr>
          <w:rFonts w:ascii="Times New Roman" w:hAnsi="Times New Roman" w:cs="Times New Roman"/>
          <w:sz w:val="24"/>
          <w:szCs w:val="24"/>
          <w:lang w:val="ro-RO"/>
        </w:rPr>
        <w:t>,</w:t>
      </w:r>
      <w:r w:rsidR="00657E7A" w:rsidRPr="005B0FD8">
        <w:rPr>
          <w:rFonts w:ascii="Times New Roman" w:hAnsi="Times New Roman" w:cs="Times New Roman"/>
          <w:sz w:val="24"/>
          <w:szCs w:val="24"/>
          <w:lang w:val="ro-RO"/>
        </w:rPr>
        <w:t xml:space="preserve"> din 1976</w:t>
      </w:r>
      <w:r w:rsidR="00352FDA" w:rsidRPr="005B0FD8">
        <w:rPr>
          <w:rFonts w:ascii="Times New Roman" w:hAnsi="Times New Roman" w:cs="Times New Roman"/>
          <w:sz w:val="24"/>
          <w:szCs w:val="24"/>
          <w:lang w:val="ro-RO"/>
        </w:rPr>
        <w:t>,</w:t>
      </w:r>
      <w:r w:rsidR="00657E7A" w:rsidRPr="005B0FD8">
        <w:rPr>
          <w:rFonts w:ascii="Times New Roman" w:hAnsi="Times New Roman" w:cs="Times New Roman"/>
          <w:sz w:val="24"/>
          <w:szCs w:val="24"/>
          <w:lang w:val="ro-RO"/>
        </w:rPr>
        <w:t xml:space="preserve"> constituț</w:t>
      </w:r>
      <w:r w:rsidR="00FB6CC1" w:rsidRPr="005B0FD8">
        <w:rPr>
          <w:rFonts w:ascii="Times New Roman" w:hAnsi="Times New Roman" w:cs="Times New Roman"/>
          <w:sz w:val="24"/>
          <w:szCs w:val="24"/>
          <w:lang w:val="ro-RO"/>
        </w:rPr>
        <w:t>i</w:t>
      </w:r>
      <w:r w:rsidR="00657E7A" w:rsidRPr="005B0FD8">
        <w:rPr>
          <w:rFonts w:ascii="Times New Roman" w:hAnsi="Times New Roman" w:cs="Times New Roman"/>
          <w:sz w:val="24"/>
          <w:szCs w:val="24"/>
          <w:lang w:val="ro-RO"/>
        </w:rPr>
        <w:t xml:space="preserve">a reprezentării s-a modificat complet, prin actul din 20 septembrie. </w:t>
      </w:r>
      <w:r w:rsidR="00352FDA" w:rsidRPr="005B0FD8">
        <w:rPr>
          <w:rFonts w:ascii="Times New Roman" w:hAnsi="Times New Roman" w:cs="Times New Roman"/>
          <w:sz w:val="24"/>
          <w:szCs w:val="24"/>
          <w:lang w:val="ro-RO"/>
        </w:rPr>
        <w:t xml:space="preserve">Ideea unor proceduri electorale uniforme la nivelul tuturor țărilor din UE s-a dezvoltat treptat, din 1976 până în 2018, inițial prin adoptarea unor reguli democratice de alegere a membrilor Parlamentului European (MPE), urmată de </w:t>
      </w:r>
      <w:r w:rsidR="00352FDA" w:rsidRPr="005B0FD8">
        <w:rPr>
          <w:rFonts w:ascii="Times New Roman" w:hAnsi="Times New Roman" w:cs="Times New Roman"/>
          <w:color w:val="212121"/>
          <w:sz w:val="24"/>
          <w:szCs w:val="24"/>
          <w:shd w:val="clear" w:color="auto" w:fill="FFFFFF"/>
          <w:lang w:val="ro-RO"/>
        </w:rPr>
        <w:t>Decizia 2002/772/CE, Euratom a Consiliului din 25 iunie și 23 septembrie 2002 care a introdus principiul reprezentării proporționale,</w:t>
      </w:r>
      <w:r w:rsidR="0065064B" w:rsidRPr="005B0FD8">
        <w:rPr>
          <w:rStyle w:val="FootnoteReference"/>
          <w:rFonts w:ascii="Times New Roman" w:hAnsi="Times New Roman" w:cs="Times New Roman"/>
          <w:color w:val="212121"/>
          <w:sz w:val="24"/>
          <w:szCs w:val="24"/>
          <w:shd w:val="clear" w:color="auto" w:fill="FFFFFF"/>
          <w:lang w:val="ro-RO"/>
        </w:rPr>
        <w:footnoteReference w:id="18"/>
      </w:r>
      <w:r w:rsidR="00352FDA" w:rsidRPr="005B0FD8">
        <w:rPr>
          <w:rFonts w:ascii="Times New Roman" w:hAnsi="Times New Roman" w:cs="Times New Roman"/>
          <w:color w:val="212121"/>
          <w:sz w:val="24"/>
          <w:szCs w:val="24"/>
          <w:shd w:val="clear" w:color="auto" w:fill="FFFFFF"/>
          <w:lang w:val="ro-RO"/>
        </w:rPr>
        <w:t xml:space="preserve"> după ce ideea uniformității s-a dezvoltat de-a lungul tratatelor (de la Maastrcht, Amsterdam și Lisabona)</w:t>
      </w:r>
      <w:r w:rsidR="00EF0E41" w:rsidRPr="005B0FD8">
        <w:rPr>
          <w:rFonts w:ascii="Times New Roman" w:hAnsi="Times New Roman" w:cs="Times New Roman"/>
          <w:color w:val="212121"/>
          <w:sz w:val="24"/>
          <w:szCs w:val="24"/>
          <w:shd w:val="clear" w:color="auto" w:fill="FFFFFF"/>
          <w:lang w:val="ro-RO"/>
        </w:rPr>
        <w:t xml:space="preserve"> și terminând cu </w:t>
      </w:r>
      <w:r w:rsidR="00EF0E41" w:rsidRPr="005B0FD8">
        <w:rPr>
          <w:rFonts w:ascii="Times New Roman" w:hAnsi="Times New Roman" w:cs="Times New Roman"/>
          <w:color w:val="212121"/>
          <w:sz w:val="24"/>
          <w:szCs w:val="24"/>
          <w:lang w:val="ro-RO"/>
        </w:rPr>
        <w:t xml:space="preserve">Decizia Consiliului (UE) 2018/937 din 28 iunie 2018 de stabilire a componenței Parlamentului European care </w:t>
      </w:r>
      <w:r w:rsidR="0065064B" w:rsidRPr="005B0FD8">
        <w:rPr>
          <w:rFonts w:ascii="Times New Roman" w:hAnsi="Times New Roman" w:cs="Times New Roman"/>
          <w:color w:val="212121"/>
          <w:sz w:val="24"/>
          <w:szCs w:val="24"/>
          <w:lang w:val="ro-RO"/>
        </w:rPr>
        <w:t xml:space="preserve">a adoptat </w:t>
      </w:r>
      <w:r w:rsidR="00394127" w:rsidRPr="005B0FD8">
        <w:rPr>
          <w:rFonts w:ascii="Times New Roman" w:hAnsi="Times New Roman" w:cs="Times New Roman"/>
          <w:color w:val="212121"/>
          <w:sz w:val="24"/>
          <w:szCs w:val="24"/>
          <w:lang w:val="ro-RO"/>
        </w:rPr>
        <w:t>principiul ”</w:t>
      </w:r>
      <w:r w:rsidR="00EF0E41" w:rsidRPr="005B0FD8">
        <w:rPr>
          <w:rFonts w:ascii="Times New Roman" w:hAnsi="Times New Roman" w:cs="Times New Roman"/>
          <w:color w:val="212121"/>
          <w:sz w:val="24"/>
          <w:szCs w:val="24"/>
          <w:lang w:val="ro-RO"/>
        </w:rPr>
        <w:t xml:space="preserve">proporționalității degresive” care se referă la reprezentarea statelor membre în PE proporțional cu populația </w:t>
      </w:r>
      <w:r w:rsidR="006F0D29" w:rsidRPr="005B0FD8">
        <w:rPr>
          <w:rFonts w:ascii="Times New Roman" w:hAnsi="Times New Roman" w:cs="Times New Roman"/>
          <w:color w:val="212121"/>
          <w:sz w:val="24"/>
          <w:szCs w:val="24"/>
          <w:lang w:val="ro-RO"/>
        </w:rPr>
        <w:t>pe care o are fiecare</w:t>
      </w:r>
      <w:r w:rsidR="00EB7C36" w:rsidRPr="005B0FD8">
        <w:rPr>
          <w:rStyle w:val="FootnoteReference"/>
          <w:rFonts w:ascii="Times New Roman" w:hAnsi="Times New Roman" w:cs="Times New Roman"/>
          <w:color w:val="212121"/>
          <w:sz w:val="24"/>
          <w:szCs w:val="24"/>
          <w:lang w:val="ro-RO"/>
        </w:rPr>
        <w:footnoteReference w:id="19"/>
      </w:r>
      <w:r w:rsidR="00FB6CC1" w:rsidRPr="005B0FD8">
        <w:rPr>
          <w:rFonts w:ascii="Times New Roman" w:hAnsi="Times New Roman" w:cs="Times New Roman"/>
          <w:color w:val="212121"/>
          <w:sz w:val="24"/>
          <w:szCs w:val="24"/>
          <w:lang w:val="ro-RO"/>
        </w:rPr>
        <w:t xml:space="preserve"> și Decizia Consiliului (UE, Euratom) 2018/994 din 13 iulie 2018 prin care s-a stabilit un prag minim obligatoriu cuprins între 2% și 5% pentru circumscripțiile electorale (inclusiv statele membre cu o singură circumscripție) care au cel</w:t>
      </w:r>
      <w:r w:rsidR="00EB7C36" w:rsidRPr="005B0FD8">
        <w:rPr>
          <w:rFonts w:ascii="Times New Roman" w:hAnsi="Times New Roman" w:cs="Times New Roman"/>
          <w:color w:val="212121"/>
          <w:sz w:val="24"/>
          <w:szCs w:val="24"/>
          <w:lang w:val="ro-RO"/>
        </w:rPr>
        <w:t xml:space="preserve"> </w:t>
      </w:r>
      <w:r w:rsidR="00FB6CC1" w:rsidRPr="005B0FD8">
        <w:rPr>
          <w:rFonts w:ascii="Times New Roman" w:hAnsi="Times New Roman" w:cs="Times New Roman"/>
          <w:color w:val="212121"/>
          <w:sz w:val="24"/>
          <w:szCs w:val="24"/>
          <w:lang w:val="ro-RO"/>
        </w:rPr>
        <w:t>puțin 35 de locuri</w:t>
      </w:r>
      <w:r w:rsidR="00EB7C36" w:rsidRPr="005B0FD8">
        <w:rPr>
          <w:rFonts w:ascii="Times New Roman" w:hAnsi="Times New Roman" w:cs="Times New Roman"/>
          <w:color w:val="212121"/>
          <w:sz w:val="24"/>
          <w:szCs w:val="24"/>
          <w:lang w:val="ro-RO"/>
        </w:rPr>
        <w:t xml:space="preserve"> în PE, țările</w:t>
      </w:r>
      <w:r w:rsidR="00540229" w:rsidRPr="005B0FD8">
        <w:rPr>
          <w:rFonts w:ascii="Times New Roman" w:hAnsi="Times New Roman" w:cs="Times New Roman"/>
          <w:color w:val="212121"/>
          <w:sz w:val="24"/>
          <w:szCs w:val="24"/>
          <w:lang w:val="ro-RO"/>
        </w:rPr>
        <w:t xml:space="preserve"> fiind obligate să îl adopte </w:t>
      </w:r>
      <w:r>
        <w:rPr>
          <w:rFonts w:ascii="Times New Roman" w:hAnsi="Times New Roman" w:cs="Times New Roman"/>
          <w:color w:val="212121"/>
          <w:sz w:val="24"/>
          <w:szCs w:val="24"/>
          <w:lang w:val="ro-RO"/>
        </w:rPr>
        <w:t>până la</w:t>
      </w:r>
      <w:r w:rsidR="00EB7C36" w:rsidRPr="005B0FD8">
        <w:rPr>
          <w:rFonts w:ascii="Times New Roman" w:hAnsi="Times New Roman" w:cs="Times New Roman"/>
          <w:color w:val="212121"/>
          <w:sz w:val="24"/>
          <w:szCs w:val="24"/>
          <w:lang w:val="ro-RO"/>
        </w:rPr>
        <w:t xml:space="preserve"> alegeri</w:t>
      </w:r>
      <w:r>
        <w:rPr>
          <w:rFonts w:ascii="Times New Roman" w:hAnsi="Times New Roman" w:cs="Times New Roman"/>
          <w:color w:val="212121"/>
          <w:sz w:val="24"/>
          <w:szCs w:val="24"/>
          <w:lang w:val="ro-RO"/>
        </w:rPr>
        <w:t>le</w:t>
      </w:r>
      <w:r w:rsidR="00EB7C36" w:rsidRPr="005B0FD8">
        <w:rPr>
          <w:rFonts w:ascii="Times New Roman" w:hAnsi="Times New Roman" w:cs="Times New Roman"/>
          <w:color w:val="212121"/>
          <w:sz w:val="24"/>
          <w:szCs w:val="24"/>
          <w:lang w:val="ro-RO"/>
        </w:rPr>
        <w:t xml:space="preserve"> europene din 2024.</w:t>
      </w:r>
      <w:r w:rsidR="00EB7C36" w:rsidRPr="005B0FD8">
        <w:rPr>
          <w:rStyle w:val="FootnoteReference"/>
          <w:rFonts w:ascii="Times New Roman" w:hAnsi="Times New Roman" w:cs="Times New Roman"/>
          <w:color w:val="212121"/>
          <w:sz w:val="24"/>
          <w:szCs w:val="24"/>
          <w:lang w:val="ro-RO"/>
        </w:rPr>
        <w:footnoteReference w:id="20"/>
      </w:r>
      <w:r w:rsidR="00283633" w:rsidRPr="005B0FD8">
        <w:rPr>
          <w:rFonts w:ascii="inherit" w:hAnsi="inherit"/>
          <w:color w:val="212121"/>
          <w:sz w:val="24"/>
          <w:szCs w:val="24"/>
          <w:lang w:val="ro-RO"/>
        </w:rPr>
        <w:t xml:space="preserve"> </w:t>
      </w:r>
    </w:p>
    <w:p w:rsidR="00814810" w:rsidRPr="005B0FD8" w:rsidRDefault="00814810" w:rsidP="002566BB">
      <w:pPr>
        <w:pStyle w:val="HTMLPreformatted"/>
        <w:shd w:val="clear" w:color="auto" w:fill="FFFFFF"/>
        <w:jc w:val="both"/>
        <w:rPr>
          <w:rFonts w:ascii="inherit" w:hAnsi="inherit"/>
          <w:color w:val="212121"/>
          <w:sz w:val="24"/>
          <w:szCs w:val="24"/>
          <w:lang w:val="ro-RO"/>
        </w:rPr>
      </w:pPr>
    </w:p>
    <w:p w:rsidR="00445DD4" w:rsidRPr="005B0FD8" w:rsidRDefault="00445DD4" w:rsidP="002566BB">
      <w:pPr>
        <w:spacing w:after="0" w:line="240" w:lineRule="auto"/>
        <w:ind w:firstLine="720"/>
        <w:jc w:val="both"/>
        <w:rPr>
          <w:rFonts w:ascii="Times New Roman" w:hAnsi="Times New Roman" w:cs="Times New Roman"/>
          <w:sz w:val="24"/>
          <w:szCs w:val="24"/>
          <w:lang w:val="ro-RO"/>
        </w:rPr>
      </w:pPr>
    </w:p>
    <w:p w:rsidR="001C327F" w:rsidRPr="006D02E1" w:rsidRDefault="001026B9" w:rsidP="006D02E1">
      <w:pPr>
        <w:pStyle w:val="ListParagraph"/>
        <w:numPr>
          <w:ilvl w:val="0"/>
          <w:numId w:val="9"/>
        </w:numPr>
        <w:spacing w:after="0" w:line="240" w:lineRule="auto"/>
        <w:rPr>
          <w:rFonts w:ascii="Times New Roman" w:hAnsi="Times New Roman" w:cs="Times New Roman"/>
          <w:sz w:val="24"/>
          <w:szCs w:val="24"/>
          <w:lang w:val="ro-RO"/>
        </w:rPr>
      </w:pPr>
      <w:r w:rsidRPr="006D02E1">
        <w:rPr>
          <w:rFonts w:ascii="Times New Roman" w:hAnsi="Times New Roman" w:cs="Times New Roman"/>
          <w:b/>
          <w:sz w:val="24"/>
          <w:szCs w:val="24"/>
          <w:lang w:val="ro-RO"/>
        </w:rPr>
        <w:t>Analiza comparativă a condițiilor de înscriere a candidaților pentru alegerile europar</w:t>
      </w:r>
      <w:r w:rsidR="00FD56F5" w:rsidRPr="006D02E1">
        <w:rPr>
          <w:rFonts w:ascii="Times New Roman" w:hAnsi="Times New Roman" w:cs="Times New Roman"/>
          <w:b/>
          <w:sz w:val="24"/>
          <w:szCs w:val="24"/>
          <w:lang w:val="ro-RO"/>
        </w:rPr>
        <w:t>-</w:t>
      </w:r>
      <w:r w:rsidRPr="006D02E1">
        <w:rPr>
          <w:rFonts w:ascii="Times New Roman" w:hAnsi="Times New Roman" w:cs="Times New Roman"/>
          <w:b/>
          <w:sz w:val="24"/>
          <w:szCs w:val="24"/>
          <w:lang w:val="ro-RO"/>
        </w:rPr>
        <w:t>lamentare din toate țările UE (excluzând Marea Britanie)</w:t>
      </w:r>
    </w:p>
    <w:p w:rsidR="00277A19" w:rsidRDefault="00277A19" w:rsidP="002566BB">
      <w:pPr>
        <w:spacing w:after="0" w:line="240" w:lineRule="auto"/>
        <w:rPr>
          <w:rFonts w:ascii="Times New Roman" w:hAnsi="Times New Roman" w:cs="Times New Roman"/>
          <w:sz w:val="24"/>
          <w:szCs w:val="24"/>
          <w:lang w:val="ro-RO"/>
        </w:rPr>
      </w:pPr>
    </w:p>
    <w:p w:rsidR="00A104AE" w:rsidRPr="00A104AE" w:rsidRDefault="006D02E1" w:rsidP="002566BB">
      <w:pPr>
        <w:spacing w:after="0" w:line="240" w:lineRule="auto"/>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4.1.</w:t>
      </w:r>
      <w:r w:rsidR="00A104AE" w:rsidRPr="00A104AE">
        <w:rPr>
          <w:rFonts w:ascii="Times New Roman" w:hAnsi="Times New Roman" w:cs="Times New Roman"/>
          <w:b/>
          <w:bCs/>
          <w:i/>
          <w:iCs/>
          <w:sz w:val="24"/>
          <w:szCs w:val="24"/>
          <w:lang w:val="ro-RO"/>
        </w:rPr>
        <w:t>Aspecte metodologice</w:t>
      </w:r>
    </w:p>
    <w:p w:rsidR="005755FE" w:rsidRDefault="00A140A3" w:rsidP="00A140A3">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 xml:space="preserve">Uniunea Europeană nu prevede nimic despre modul în care se nominalizează candidații, acest aspect fiind </w:t>
      </w:r>
      <w:r>
        <w:rPr>
          <w:rFonts w:ascii="Times New Roman" w:hAnsi="Times New Roman" w:cs="Times New Roman"/>
          <w:sz w:val="24"/>
          <w:szCs w:val="24"/>
          <w:lang w:val="ro-RO"/>
        </w:rPr>
        <w:t xml:space="preserve">lasat </w:t>
      </w:r>
      <w:r w:rsidRPr="005B0FD8">
        <w:rPr>
          <w:rFonts w:ascii="Times New Roman" w:hAnsi="Times New Roman" w:cs="Times New Roman"/>
          <w:sz w:val="24"/>
          <w:szCs w:val="24"/>
          <w:lang w:val="ro-RO"/>
        </w:rPr>
        <w:t xml:space="preserve">la </w:t>
      </w:r>
      <w:r>
        <w:rPr>
          <w:rFonts w:ascii="Times New Roman" w:hAnsi="Times New Roman" w:cs="Times New Roman"/>
          <w:sz w:val="24"/>
          <w:szCs w:val="24"/>
          <w:lang w:val="ro-RO"/>
        </w:rPr>
        <w:t xml:space="preserve">libera alegere a </w:t>
      </w:r>
      <w:r w:rsidRPr="005B0FD8">
        <w:rPr>
          <w:rFonts w:ascii="Times New Roman" w:hAnsi="Times New Roman" w:cs="Times New Roman"/>
          <w:sz w:val="24"/>
          <w:szCs w:val="24"/>
          <w:lang w:val="ro-RO"/>
        </w:rPr>
        <w:t xml:space="preserve">statelor membre. Astfel că, fiecare țară a ales să stabilească de una singură cine poate candida și în ce condiții. Nu de puține ori, statele s-au inspirat din sau au împrumutat ca atare propriul model de la alegerile pentru parlamentul național, cum sunt cazurile Bulgariei, Spaniei sau al Portugaliei. În continuare, studiul prezintă comparativ condițiile de înregistrare a candidaților pentru alegerile europene în statele din Uniunea Europeană. </w:t>
      </w:r>
    </w:p>
    <w:p w:rsidR="00A140A3" w:rsidRDefault="00A140A3" w:rsidP="00A140A3">
      <w:pPr>
        <w:spacing w:after="0" w:line="240" w:lineRule="auto"/>
        <w:ind w:firstLine="720"/>
        <w:jc w:val="both"/>
        <w:rPr>
          <w:rFonts w:ascii="inherit" w:hAnsi="inherit"/>
          <w:color w:val="212121"/>
          <w:sz w:val="24"/>
          <w:szCs w:val="24"/>
          <w:lang w:val="ro-RO"/>
        </w:rPr>
      </w:pPr>
      <w:r w:rsidRPr="005B0FD8">
        <w:rPr>
          <w:rFonts w:ascii="Times New Roman" w:hAnsi="Times New Roman" w:cs="Times New Roman"/>
          <w:sz w:val="24"/>
          <w:szCs w:val="24"/>
          <w:lang w:val="ro-RO"/>
        </w:rPr>
        <w:lastRenderedPageBreak/>
        <w:t>Pentru redactarea acestui studiu, am adresat solicitări în scris instituțiilor electorale sau departamentelor care se ocupă de alegeri</w:t>
      </w:r>
      <w:r w:rsidR="005755FE">
        <w:rPr>
          <w:rFonts w:ascii="Times New Roman" w:hAnsi="Times New Roman" w:cs="Times New Roman"/>
          <w:sz w:val="24"/>
          <w:szCs w:val="24"/>
          <w:lang w:val="ro-RO"/>
        </w:rPr>
        <w:t xml:space="preserve"> (ex. Ministerul de Interne, Ministerul de Externe)</w:t>
      </w:r>
      <w:r w:rsidRPr="005B0FD8">
        <w:rPr>
          <w:rFonts w:ascii="Times New Roman" w:hAnsi="Times New Roman" w:cs="Times New Roman"/>
          <w:sz w:val="24"/>
          <w:szCs w:val="24"/>
          <w:lang w:val="ro-RO"/>
        </w:rPr>
        <w:t xml:space="preserve"> din instituțiile tutur</w:t>
      </w:r>
      <w:r>
        <w:rPr>
          <w:rFonts w:ascii="Times New Roman" w:hAnsi="Times New Roman" w:cs="Times New Roman"/>
          <w:sz w:val="24"/>
          <w:szCs w:val="24"/>
          <w:lang w:val="ro-RO"/>
        </w:rPr>
        <w:t>or țărilor mem</w:t>
      </w:r>
      <w:r w:rsidRPr="005B0FD8">
        <w:rPr>
          <w:rFonts w:ascii="Times New Roman" w:hAnsi="Times New Roman" w:cs="Times New Roman"/>
          <w:sz w:val="24"/>
          <w:szCs w:val="24"/>
          <w:lang w:val="ro-RO"/>
        </w:rPr>
        <w:t>bre ale UE, cu excepția României. Acestea sunt înt</w:t>
      </w:r>
      <w:r w:rsidR="000B2F10">
        <w:rPr>
          <w:rFonts w:ascii="Times New Roman" w:hAnsi="Times New Roman" w:cs="Times New Roman"/>
          <w:sz w:val="24"/>
          <w:szCs w:val="24"/>
          <w:lang w:val="ro-RO"/>
        </w:rPr>
        <w:t xml:space="preserve">rebările pe care le-a adresat: </w:t>
      </w:r>
      <w:r w:rsidRPr="000B2F10">
        <w:rPr>
          <w:rFonts w:ascii="inherit" w:hAnsi="inherit"/>
          <w:i/>
          <w:iCs/>
          <w:color w:val="212121"/>
          <w:sz w:val="24"/>
          <w:szCs w:val="24"/>
          <w:lang w:val="ro-RO"/>
        </w:rPr>
        <w:t>Care sunt condițiile de înregistrare a partidelor și coalițiilor de partide pentru alegerile europene (din țara în cauză)? Trebuie să plătească un depozit sau să colecteze semnături pentru a fi acceptate ca și candidați? Este permisă de legea electorală ca independenții să candideze (în țara în cauză) pentru un loc în Parlamentul European? Dacă răspunsul este da, există cerințe în ceea ce privește un număr de semnături sau/și un depozit în bani pentru înscrierea în competiția electorală pentru candidații independenți?</w:t>
      </w:r>
      <w:r w:rsidR="000B2F10">
        <w:rPr>
          <w:rStyle w:val="FootnoteReference"/>
          <w:rFonts w:ascii="inherit" w:hAnsi="inherit"/>
          <w:i/>
          <w:iCs/>
          <w:color w:val="212121"/>
          <w:sz w:val="24"/>
          <w:szCs w:val="24"/>
          <w:lang w:val="ro-RO"/>
        </w:rPr>
        <w:footnoteReference w:id="21"/>
      </w:r>
      <w:r w:rsidRPr="003C7EE0">
        <w:rPr>
          <w:rFonts w:ascii="inherit" w:hAnsi="inherit"/>
          <w:color w:val="212121"/>
          <w:sz w:val="24"/>
          <w:szCs w:val="24"/>
          <w:lang w:val="ro-RO"/>
        </w:rPr>
        <w:t xml:space="preserve"> Cu excepția Republicii Cehe și a Franței, toate instituțiile acestor țări au răspuns, clarificând de cele mai multe ori toate confuziile pe care lectura legilor electorale de multe ori le ridic</w:t>
      </w:r>
      <w:r>
        <w:rPr>
          <w:rFonts w:ascii="inherit" w:hAnsi="inherit"/>
          <w:color w:val="212121"/>
          <w:sz w:val="24"/>
          <w:szCs w:val="24"/>
          <w:lang w:val="ro-RO"/>
        </w:rPr>
        <w:t>ă</w:t>
      </w:r>
      <w:r w:rsidRPr="003C7EE0">
        <w:rPr>
          <w:rFonts w:ascii="inherit" w:hAnsi="inherit"/>
          <w:color w:val="212121"/>
          <w:sz w:val="24"/>
          <w:szCs w:val="24"/>
          <w:lang w:val="ro-RO"/>
        </w:rPr>
        <w:t>. Începând cu o</w:t>
      </w:r>
      <w:r w:rsidRPr="005B0FD8">
        <w:rPr>
          <w:rFonts w:ascii="inherit" w:hAnsi="inherit"/>
          <w:color w:val="212121"/>
          <w:sz w:val="24"/>
          <w:szCs w:val="24"/>
          <w:lang w:val="ro-RO"/>
        </w:rPr>
        <w:t xml:space="preserve"> simplă concluzie, deși aplică sisteme electorale foarte asemănătoare, condițiile de numire a candidaților variază de la țară la țară în destul de mare măsură. Unele țări nu cer nici semnături și nici depunerea unui depozit în numerar pentru anumite categorii de candidați, alții solicită un număr considerabil de semnături și/sau depozite în bani foarte mari. Unele țări dau posibilitatea numai unei singure categorii de candidați să intre în competiția electorală, de cele mai multe ori partidele politice</w:t>
      </w:r>
      <w:r>
        <w:rPr>
          <w:rFonts w:ascii="inherit" w:hAnsi="inherit"/>
          <w:color w:val="212121"/>
          <w:sz w:val="24"/>
          <w:szCs w:val="24"/>
          <w:lang w:val="ro-RO"/>
        </w:rPr>
        <w:t xml:space="preserve"> înregistrate</w:t>
      </w:r>
      <w:r w:rsidRPr="005B0FD8">
        <w:rPr>
          <w:rFonts w:ascii="inherit" w:hAnsi="inherit"/>
          <w:color w:val="212121"/>
          <w:sz w:val="24"/>
          <w:szCs w:val="24"/>
          <w:lang w:val="ro-RO"/>
        </w:rPr>
        <w:t xml:space="preserve">, alte oferă diferitelor asociații, printre care și partidelor politice </w:t>
      </w:r>
      <w:r>
        <w:rPr>
          <w:rFonts w:ascii="inherit" w:hAnsi="inherit"/>
          <w:color w:val="212121"/>
          <w:sz w:val="24"/>
          <w:szCs w:val="24"/>
          <w:lang w:val="ro-RO"/>
        </w:rPr>
        <w:t>ne</w:t>
      </w:r>
      <w:r w:rsidRPr="005B0FD8">
        <w:rPr>
          <w:rFonts w:ascii="inherit" w:hAnsi="inherit"/>
          <w:color w:val="212121"/>
          <w:sz w:val="24"/>
          <w:szCs w:val="24"/>
          <w:lang w:val="ro-RO"/>
        </w:rPr>
        <w:t xml:space="preserve">înregistrate să candideze. Condițiile variază și vor </w:t>
      </w:r>
      <w:r>
        <w:rPr>
          <w:rFonts w:ascii="inherit" w:hAnsi="inherit"/>
          <w:color w:val="212121"/>
          <w:sz w:val="24"/>
          <w:szCs w:val="24"/>
          <w:lang w:val="ro-RO"/>
        </w:rPr>
        <w:t xml:space="preserve">continua să </w:t>
      </w:r>
      <w:r w:rsidRPr="005B0FD8">
        <w:rPr>
          <w:rFonts w:ascii="inherit" w:hAnsi="inherit"/>
          <w:color w:val="212121"/>
          <w:sz w:val="24"/>
          <w:szCs w:val="24"/>
          <w:lang w:val="ro-RO"/>
        </w:rPr>
        <w:t>vari</w:t>
      </w:r>
      <w:r>
        <w:rPr>
          <w:rFonts w:ascii="inherit" w:hAnsi="inherit"/>
          <w:color w:val="212121"/>
          <w:sz w:val="24"/>
          <w:szCs w:val="24"/>
          <w:lang w:val="ro-RO"/>
        </w:rPr>
        <w:t>eze</w:t>
      </w:r>
      <w:r w:rsidRPr="005B0FD8">
        <w:rPr>
          <w:rFonts w:ascii="inherit" w:hAnsi="inherit"/>
          <w:color w:val="212121"/>
          <w:sz w:val="24"/>
          <w:szCs w:val="24"/>
          <w:lang w:val="ro-RO"/>
        </w:rPr>
        <w:t>, deoarec</w:t>
      </w:r>
      <w:r>
        <w:rPr>
          <w:rFonts w:ascii="inherit" w:hAnsi="inherit"/>
          <w:color w:val="212121"/>
          <w:sz w:val="24"/>
          <w:szCs w:val="24"/>
          <w:lang w:val="ro-RO"/>
        </w:rPr>
        <w:t>e nu există încă măsuri ale UE</w:t>
      </w:r>
      <w:r w:rsidRPr="005B0FD8">
        <w:rPr>
          <w:rFonts w:ascii="inherit" w:hAnsi="inherit"/>
          <w:color w:val="212121"/>
          <w:sz w:val="24"/>
          <w:szCs w:val="24"/>
          <w:lang w:val="ro-RO"/>
        </w:rPr>
        <w:t xml:space="preserve"> care să uniformizeze acest aspect al alegerilor europene.</w:t>
      </w:r>
      <w:r w:rsidR="00A104AE">
        <w:rPr>
          <w:rFonts w:ascii="inherit" w:hAnsi="inherit"/>
          <w:color w:val="212121"/>
          <w:sz w:val="24"/>
          <w:szCs w:val="24"/>
          <w:lang w:val="ro-RO"/>
        </w:rPr>
        <w:t xml:space="preserve"> </w:t>
      </w:r>
    </w:p>
    <w:p w:rsidR="002B7DAA" w:rsidRDefault="002B7DAA" w:rsidP="002B7DAA">
      <w:pPr>
        <w:spacing w:after="0" w:line="240" w:lineRule="auto"/>
        <w:jc w:val="both"/>
        <w:rPr>
          <w:rFonts w:ascii="inherit" w:hAnsi="inherit"/>
          <w:color w:val="212121"/>
          <w:sz w:val="24"/>
          <w:szCs w:val="24"/>
          <w:lang w:val="ro-RO"/>
        </w:rPr>
      </w:pPr>
    </w:p>
    <w:p w:rsidR="002B7DAA" w:rsidRPr="006D02E1" w:rsidRDefault="006D02E1" w:rsidP="006D02E1">
      <w:pPr>
        <w:spacing w:after="0" w:line="240" w:lineRule="auto"/>
        <w:jc w:val="both"/>
        <w:rPr>
          <w:rFonts w:ascii="inherit" w:hAnsi="inherit"/>
          <w:b/>
          <w:bCs/>
          <w:i/>
          <w:iCs/>
          <w:color w:val="212121"/>
          <w:sz w:val="24"/>
          <w:szCs w:val="24"/>
          <w:lang w:val="ro-RO"/>
        </w:rPr>
      </w:pPr>
      <w:r>
        <w:rPr>
          <w:rFonts w:ascii="inherit" w:hAnsi="inherit"/>
          <w:b/>
          <w:bCs/>
          <w:i/>
          <w:iCs/>
          <w:color w:val="212121"/>
          <w:sz w:val="24"/>
          <w:szCs w:val="24"/>
          <w:lang w:val="ro-RO"/>
        </w:rPr>
        <w:t>4.2.</w:t>
      </w:r>
      <w:r w:rsidR="002B7DAA" w:rsidRPr="006D02E1">
        <w:rPr>
          <w:rFonts w:ascii="inherit" w:hAnsi="inherit"/>
          <w:b/>
          <w:bCs/>
          <w:i/>
          <w:iCs/>
          <w:color w:val="212121"/>
          <w:sz w:val="24"/>
          <w:szCs w:val="24"/>
          <w:lang w:val="ro-RO"/>
        </w:rPr>
        <w:t xml:space="preserve">Rezultatele cercetării: </w:t>
      </w:r>
      <w:r w:rsidR="001F6175" w:rsidRPr="006D02E1">
        <w:rPr>
          <w:rFonts w:ascii="inherit" w:hAnsi="inherit"/>
          <w:b/>
          <w:bCs/>
          <w:i/>
          <w:iCs/>
          <w:color w:val="212121"/>
          <w:sz w:val="24"/>
          <w:szCs w:val="24"/>
          <w:lang w:val="ro-RO"/>
        </w:rPr>
        <w:t>condiț</w:t>
      </w:r>
      <w:r w:rsidR="00DE0118" w:rsidRPr="006D02E1">
        <w:rPr>
          <w:rFonts w:ascii="inherit" w:hAnsi="inherit"/>
          <w:b/>
          <w:bCs/>
          <w:i/>
          <w:iCs/>
          <w:color w:val="212121"/>
          <w:sz w:val="24"/>
          <w:szCs w:val="24"/>
          <w:lang w:val="ro-RO"/>
        </w:rPr>
        <w:t>ii de înregistrare a can</w:t>
      </w:r>
      <w:r w:rsidR="001F6175" w:rsidRPr="006D02E1">
        <w:rPr>
          <w:rFonts w:ascii="inherit" w:hAnsi="inherit"/>
          <w:b/>
          <w:bCs/>
          <w:i/>
          <w:iCs/>
          <w:color w:val="212121"/>
          <w:sz w:val="24"/>
          <w:szCs w:val="24"/>
          <w:lang w:val="ro-RO"/>
        </w:rPr>
        <w:t>d</w:t>
      </w:r>
      <w:r w:rsidR="00DE0118" w:rsidRPr="006D02E1">
        <w:rPr>
          <w:rFonts w:ascii="inherit" w:hAnsi="inherit"/>
          <w:b/>
          <w:bCs/>
          <w:i/>
          <w:iCs/>
          <w:color w:val="212121"/>
          <w:sz w:val="24"/>
          <w:szCs w:val="24"/>
          <w:lang w:val="ro-RO"/>
        </w:rPr>
        <w:t>i</w:t>
      </w:r>
      <w:r w:rsidR="001F6175" w:rsidRPr="006D02E1">
        <w:rPr>
          <w:rFonts w:ascii="inherit" w:hAnsi="inherit"/>
          <w:b/>
          <w:bCs/>
          <w:i/>
          <w:iCs/>
          <w:color w:val="212121"/>
          <w:sz w:val="24"/>
          <w:szCs w:val="24"/>
          <w:lang w:val="ro-RO"/>
        </w:rPr>
        <w:t>daților în UE</w:t>
      </w:r>
    </w:p>
    <w:p w:rsidR="00474237" w:rsidRPr="005B0FD8" w:rsidRDefault="003A3419" w:rsidP="006D02E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Conform legilor electorale de alegere a me</w:t>
      </w:r>
      <w:r w:rsidR="001E4818">
        <w:rPr>
          <w:rFonts w:ascii="Times New Roman" w:hAnsi="Times New Roman" w:cs="Times New Roman"/>
          <w:sz w:val="24"/>
          <w:szCs w:val="24"/>
          <w:lang w:val="ro-RO"/>
        </w:rPr>
        <w:t>m</w:t>
      </w:r>
      <w:r>
        <w:rPr>
          <w:rFonts w:ascii="Times New Roman" w:hAnsi="Times New Roman" w:cs="Times New Roman"/>
          <w:sz w:val="24"/>
          <w:szCs w:val="24"/>
          <w:lang w:val="ro-RO"/>
        </w:rPr>
        <w:t>brilor pentru PE</w:t>
      </w:r>
      <w:r w:rsidR="007078E9">
        <w:rPr>
          <w:rFonts w:ascii="Times New Roman" w:hAnsi="Times New Roman" w:cs="Times New Roman"/>
          <w:sz w:val="24"/>
          <w:szCs w:val="24"/>
          <w:lang w:val="ro-RO"/>
        </w:rPr>
        <w:t>, c</w:t>
      </w:r>
      <w:r w:rsidR="00A104AE">
        <w:rPr>
          <w:rFonts w:ascii="Times New Roman" w:hAnsi="Times New Roman" w:cs="Times New Roman"/>
          <w:sz w:val="24"/>
          <w:szCs w:val="24"/>
          <w:lang w:val="ro-RO"/>
        </w:rPr>
        <w:t>inci din cele 27 de țări mem</w:t>
      </w:r>
      <w:r w:rsidR="00474237" w:rsidRPr="005B0FD8">
        <w:rPr>
          <w:rFonts w:ascii="Times New Roman" w:hAnsi="Times New Roman" w:cs="Times New Roman"/>
          <w:sz w:val="24"/>
          <w:szCs w:val="24"/>
          <w:lang w:val="ro-RO"/>
        </w:rPr>
        <w:t>bre ale UE</w:t>
      </w:r>
      <w:r w:rsidR="00267D45" w:rsidRPr="005B0FD8">
        <w:rPr>
          <w:rFonts w:ascii="Times New Roman" w:hAnsi="Times New Roman" w:cs="Times New Roman"/>
          <w:sz w:val="24"/>
          <w:szCs w:val="24"/>
          <w:lang w:val="ro-RO"/>
        </w:rPr>
        <w:t>,</w:t>
      </w:r>
      <w:r w:rsidR="00474237" w:rsidRPr="005B0FD8">
        <w:rPr>
          <w:rFonts w:ascii="Times New Roman" w:hAnsi="Times New Roman" w:cs="Times New Roman"/>
          <w:sz w:val="24"/>
          <w:szCs w:val="24"/>
          <w:lang w:val="ro-RO"/>
        </w:rPr>
        <w:t xml:space="preserve"> Croația, Finlanda, Irlanda, Suedia și Portugalia, nu solicită nici depunerea unor semnături și </w:t>
      </w:r>
      <w:r w:rsidR="00267D45" w:rsidRPr="005B0FD8">
        <w:rPr>
          <w:rFonts w:ascii="Times New Roman" w:hAnsi="Times New Roman" w:cs="Times New Roman"/>
          <w:sz w:val="24"/>
          <w:szCs w:val="24"/>
          <w:lang w:val="ro-RO"/>
        </w:rPr>
        <w:t xml:space="preserve">nici </w:t>
      </w:r>
      <w:r w:rsidR="00474237" w:rsidRPr="005B0FD8">
        <w:rPr>
          <w:rFonts w:ascii="Times New Roman" w:hAnsi="Times New Roman" w:cs="Times New Roman"/>
          <w:sz w:val="24"/>
          <w:szCs w:val="24"/>
          <w:lang w:val="ro-RO"/>
        </w:rPr>
        <w:t>achitarea</w:t>
      </w:r>
      <w:r w:rsidR="00267D45" w:rsidRPr="005B0FD8">
        <w:rPr>
          <w:rFonts w:ascii="Times New Roman" w:hAnsi="Times New Roman" w:cs="Times New Roman"/>
          <w:sz w:val="24"/>
          <w:szCs w:val="24"/>
          <w:lang w:val="ro-RO"/>
        </w:rPr>
        <w:t xml:space="preserve"> unui depozit în bani pentru înregistrarea unui candidat la alegerile pentru Parlamentul European</w:t>
      </w:r>
      <w:r w:rsidR="001E4818">
        <w:rPr>
          <w:rFonts w:ascii="Times New Roman" w:hAnsi="Times New Roman" w:cs="Times New Roman"/>
          <w:sz w:val="24"/>
          <w:szCs w:val="24"/>
          <w:lang w:val="ro-RO"/>
        </w:rPr>
        <w:t xml:space="preserve">, însa condițiile dincolo de lege sunt altele. </w:t>
      </w:r>
      <w:r w:rsidR="00474237" w:rsidRPr="005B0FD8">
        <w:rPr>
          <w:rFonts w:ascii="Times New Roman" w:hAnsi="Times New Roman" w:cs="Times New Roman"/>
          <w:sz w:val="24"/>
          <w:szCs w:val="24"/>
          <w:lang w:val="ro-RO"/>
        </w:rPr>
        <w:t>La prima vedere, aceste țări au condiții facile, cele mai facile, în realitate situația este mai complexă</w:t>
      </w:r>
      <w:r w:rsidR="001E4818">
        <w:rPr>
          <w:rFonts w:ascii="Times New Roman" w:hAnsi="Times New Roman" w:cs="Times New Roman"/>
          <w:sz w:val="24"/>
          <w:szCs w:val="24"/>
          <w:lang w:val="ro-RO"/>
        </w:rPr>
        <w:t>,</w:t>
      </w:r>
      <w:r w:rsidR="00474237" w:rsidRPr="005B0FD8">
        <w:rPr>
          <w:rFonts w:ascii="Times New Roman" w:hAnsi="Times New Roman" w:cs="Times New Roman"/>
          <w:sz w:val="24"/>
          <w:szCs w:val="24"/>
          <w:lang w:val="ro-RO"/>
        </w:rPr>
        <w:t xml:space="preserve"> dacă ne uităm </w:t>
      </w:r>
      <w:r w:rsidR="009817BC">
        <w:rPr>
          <w:rFonts w:ascii="Times New Roman" w:hAnsi="Times New Roman" w:cs="Times New Roman"/>
          <w:sz w:val="24"/>
          <w:szCs w:val="24"/>
          <w:lang w:val="ro-RO"/>
        </w:rPr>
        <w:t xml:space="preserve">la </w:t>
      </w:r>
      <w:r w:rsidR="00474237" w:rsidRPr="005B0FD8">
        <w:rPr>
          <w:rFonts w:ascii="Times New Roman" w:hAnsi="Times New Roman" w:cs="Times New Roman"/>
          <w:sz w:val="24"/>
          <w:szCs w:val="24"/>
          <w:lang w:val="ro-RO"/>
        </w:rPr>
        <w:t xml:space="preserve">condițiile de înscriere care se referă la partidele politice înregistrate sau cu un număr minim de membri necesari pentru înscrierea în cursa electorală. </w:t>
      </w:r>
    </w:p>
    <w:p w:rsidR="008E34A3" w:rsidRDefault="001E4818" w:rsidP="008E34A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Un caz aparte este Suedia, unde </w:t>
      </w:r>
      <w:r w:rsidR="00157EC6" w:rsidRPr="005B0FD8">
        <w:rPr>
          <w:rFonts w:ascii="Times New Roman" w:hAnsi="Times New Roman" w:cs="Times New Roman"/>
          <w:sz w:val="24"/>
          <w:szCs w:val="24"/>
          <w:lang w:val="ro-RO"/>
        </w:rPr>
        <w:t xml:space="preserve">partidele pot candida la alegeri fără a fi înscrise la Autoritatea Electorală a Suediei și deci nesolicitându-li-se un număr </w:t>
      </w:r>
      <w:r w:rsidR="00662624" w:rsidRPr="005B0FD8">
        <w:rPr>
          <w:rFonts w:ascii="Times New Roman" w:hAnsi="Times New Roman" w:cs="Times New Roman"/>
          <w:sz w:val="24"/>
          <w:szCs w:val="24"/>
          <w:lang w:val="ro-RO"/>
        </w:rPr>
        <w:t xml:space="preserve">minim </w:t>
      </w:r>
      <w:r w:rsidR="00157EC6" w:rsidRPr="005B0FD8">
        <w:rPr>
          <w:rFonts w:ascii="Times New Roman" w:hAnsi="Times New Roman" w:cs="Times New Roman"/>
          <w:sz w:val="24"/>
          <w:szCs w:val="24"/>
          <w:lang w:val="ro-RO"/>
        </w:rPr>
        <w:t xml:space="preserve">de membri fondatori. </w:t>
      </w:r>
      <w:r w:rsidR="008B30AC" w:rsidRPr="005B0FD8">
        <w:rPr>
          <w:rFonts w:ascii="Times New Roman" w:hAnsi="Times New Roman" w:cs="Times New Roman"/>
          <w:sz w:val="24"/>
          <w:szCs w:val="24"/>
          <w:lang w:val="ro-RO"/>
        </w:rPr>
        <w:t xml:space="preserve">În cazul în care </w:t>
      </w:r>
      <w:r w:rsidR="00870C72" w:rsidRPr="005B0FD8">
        <w:rPr>
          <w:rFonts w:ascii="Times New Roman" w:hAnsi="Times New Roman" w:cs="Times New Roman"/>
          <w:sz w:val="24"/>
          <w:szCs w:val="24"/>
          <w:lang w:val="ro-RO"/>
        </w:rPr>
        <w:t>partidul vrea să aibă exclusivitate as</w:t>
      </w:r>
      <w:r w:rsidR="00870C72" w:rsidRPr="0008148B">
        <w:rPr>
          <w:rFonts w:ascii="Times New Roman" w:hAnsi="Times New Roman" w:cs="Times New Roman"/>
          <w:sz w:val="24"/>
          <w:szCs w:val="24"/>
          <w:lang w:val="ro-RO"/>
        </w:rPr>
        <w:t xml:space="preserve">upra denumirii alese, este obligat să </w:t>
      </w:r>
      <w:r w:rsidR="008C04B6" w:rsidRPr="0008148B">
        <w:rPr>
          <w:rFonts w:ascii="Times New Roman" w:hAnsi="Times New Roman" w:cs="Times New Roman"/>
          <w:sz w:val="24"/>
          <w:szCs w:val="24"/>
          <w:lang w:val="ro-RO"/>
        </w:rPr>
        <w:t xml:space="preserve">se înregistreze la autoritatea Electorală având cel puțin 1,500 de membri fondatori, dacă intenționează să participe la alegerile parlamentare naționale sau la alegerile europarlamentare și 100 de membri fondatori dacă vrea să se înscrie în cursa electorală </w:t>
      </w:r>
      <w:r w:rsidR="001E45C8" w:rsidRPr="0008148B">
        <w:rPr>
          <w:rFonts w:ascii="Times New Roman" w:hAnsi="Times New Roman" w:cs="Times New Roman"/>
          <w:sz w:val="24"/>
          <w:szCs w:val="24"/>
          <w:lang w:val="ro-RO"/>
        </w:rPr>
        <w:t xml:space="preserve">pentru Consiliul Județean </w:t>
      </w:r>
      <w:r w:rsidR="008C04B6" w:rsidRPr="0008148B">
        <w:rPr>
          <w:rFonts w:ascii="Times New Roman" w:hAnsi="Times New Roman" w:cs="Times New Roman"/>
          <w:sz w:val="24"/>
          <w:szCs w:val="24"/>
          <w:lang w:val="ro-RO"/>
        </w:rPr>
        <w:t>și 50 de membri fondatori</w:t>
      </w:r>
      <w:r w:rsidR="001E45C8" w:rsidRPr="0008148B">
        <w:rPr>
          <w:rFonts w:ascii="Times New Roman" w:hAnsi="Times New Roman" w:cs="Times New Roman"/>
          <w:sz w:val="24"/>
          <w:szCs w:val="24"/>
          <w:lang w:val="ro-RO"/>
        </w:rPr>
        <w:t xml:space="preserve"> dacă</w:t>
      </w:r>
      <w:r w:rsidR="001E45C8" w:rsidRPr="005B0FD8">
        <w:rPr>
          <w:rFonts w:ascii="Times New Roman" w:hAnsi="Times New Roman" w:cs="Times New Roman"/>
          <w:sz w:val="24"/>
          <w:szCs w:val="24"/>
          <w:lang w:val="ro-RO"/>
        </w:rPr>
        <w:t xml:space="preserve"> vrea să participe la alegerile pentru consiliul local</w:t>
      </w:r>
      <w:r w:rsidR="00275EED" w:rsidRPr="005B0FD8">
        <w:rPr>
          <w:rFonts w:ascii="Times New Roman" w:hAnsi="Times New Roman" w:cs="Times New Roman"/>
          <w:sz w:val="24"/>
          <w:szCs w:val="24"/>
          <w:lang w:val="ro-RO"/>
        </w:rPr>
        <w:t>, în</w:t>
      </w:r>
      <w:r w:rsidR="004E13A7" w:rsidRPr="005B0FD8">
        <w:rPr>
          <w:rFonts w:ascii="Times New Roman" w:hAnsi="Times New Roman" w:cs="Times New Roman"/>
          <w:sz w:val="24"/>
          <w:szCs w:val="24"/>
          <w:lang w:val="ro-RO"/>
        </w:rPr>
        <w:t xml:space="preserve">registratea partidului </w:t>
      </w:r>
      <w:r w:rsidR="00275EED" w:rsidRPr="005B0FD8">
        <w:rPr>
          <w:rFonts w:ascii="Times New Roman" w:hAnsi="Times New Roman" w:cs="Times New Roman"/>
          <w:sz w:val="24"/>
          <w:szCs w:val="24"/>
          <w:lang w:val="ro-RO"/>
        </w:rPr>
        <w:t>fiind însă</w:t>
      </w:r>
      <w:r w:rsidR="004E13A7" w:rsidRPr="005B0FD8">
        <w:rPr>
          <w:rFonts w:ascii="Times New Roman" w:hAnsi="Times New Roman" w:cs="Times New Roman"/>
          <w:sz w:val="24"/>
          <w:szCs w:val="24"/>
          <w:lang w:val="ro-RO"/>
        </w:rPr>
        <w:t xml:space="preserve"> opțională</w:t>
      </w:r>
      <w:r w:rsidR="008C04B6" w:rsidRPr="005B0FD8">
        <w:rPr>
          <w:rFonts w:ascii="Times New Roman" w:hAnsi="Times New Roman" w:cs="Times New Roman"/>
          <w:sz w:val="24"/>
          <w:szCs w:val="24"/>
          <w:lang w:val="ro-RO"/>
        </w:rPr>
        <w:t>.</w:t>
      </w:r>
      <w:r w:rsidR="00D31448" w:rsidRPr="005B0FD8">
        <w:rPr>
          <w:rStyle w:val="FootnoteReference"/>
          <w:rFonts w:ascii="Times New Roman" w:hAnsi="Times New Roman" w:cs="Times New Roman"/>
          <w:sz w:val="24"/>
          <w:szCs w:val="24"/>
          <w:lang w:val="ro-RO"/>
        </w:rPr>
        <w:footnoteReference w:id="22"/>
      </w:r>
      <w:r w:rsidR="008C04B6" w:rsidRPr="005B0FD8">
        <w:rPr>
          <w:rFonts w:ascii="Times New Roman" w:hAnsi="Times New Roman" w:cs="Times New Roman"/>
          <w:sz w:val="24"/>
          <w:szCs w:val="24"/>
          <w:lang w:val="ro-RO"/>
        </w:rPr>
        <w:t xml:space="preserve"> </w:t>
      </w:r>
      <w:r w:rsidR="004174F9" w:rsidRPr="005B0FD8">
        <w:rPr>
          <w:rFonts w:ascii="Times New Roman" w:hAnsi="Times New Roman" w:cs="Times New Roman"/>
          <w:sz w:val="24"/>
          <w:szCs w:val="24"/>
          <w:lang w:val="ro-RO"/>
        </w:rPr>
        <w:t>Deopotrivă, în Finlanda, partidele politice cărora li se permite nerestricționat participarea la alegeri</w:t>
      </w:r>
      <w:r w:rsidR="00F46668" w:rsidRPr="005B0FD8">
        <w:rPr>
          <w:rFonts w:ascii="Times New Roman" w:hAnsi="Times New Roman" w:cs="Times New Roman"/>
          <w:sz w:val="24"/>
          <w:szCs w:val="24"/>
          <w:lang w:val="ro-RO"/>
        </w:rPr>
        <w:t>le europarlamentare, li se solicită înregistrarea susținută de cel puțin 5,000 de cetățeni cu drept de vot la alegerile parlamentare (pentru că, la alegerile locale, pot vota și cei care nu au cetățenie</w:t>
      </w:r>
      <w:r w:rsidR="00D70AEA" w:rsidRPr="005B0FD8">
        <w:rPr>
          <w:rFonts w:ascii="Times New Roman" w:hAnsi="Times New Roman" w:cs="Times New Roman"/>
          <w:sz w:val="24"/>
          <w:szCs w:val="24"/>
          <w:lang w:val="ro-RO"/>
        </w:rPr>
        <w:t xml:space="preserve"> finlandeză</w:t>
      </w:r>
      <w:r w:rsidR="00F46668" w:rsidRPr="005B0FD8">
        <w:rPr>
          <w:rFonts w:ascii="Times New Roman" w:hAnsi="Times New Roman" w:cs="Times New Roman"/>
          <w:sz w:val="24"/>
          <w:szCs w:val="24"/>
          <w:lang w:val="ro-RO"/>
        </w:rPr>
        <w:t>).</w:t>
      </w:r>
      <w:r w:rsidR="00315899" w:rsidRPr="005B0FD8">
        <w:rPr>
          <w:rStyle w:val="FootnoteReference"/>
          <w:rFonts w:ascii="Times New Roman" w:hAnsi="Times New Roman" w:cs="Times New Roman"/>
          <w:sz w:val="24"/>
          <w:szCs w:val="24"/>
          <w:lang w:val="ro-RO"/>
        </w:rPr>
        <w:footnoteReference w:id="23"/>
      </w:r>
      <w:r w:rsidR="00F46668" w:rsidRPr="005B0FD8">
        <w:rPr>
          <w:rFonts w:ascii="Times New Roman" w:hAnsi="Times New Roman" w:cs="Times New Roman"/>
          <w:sz w:val="24"/>
          <w:szCs w:val="24"/>
          <w:lang w:val="ro-RO"/>
        </w:rPr>
        <w:t xml:space="preserve"> </w:t>
      </w:r>
      <w:r w:rsidR="00315899" w:rsidRPr="005B0FD8">
        <w:rPr>
          <w:rFonts w:ascii="Times New Roman" w:hAnsi="Times New Roman" w:cs="Times New Roman"/>
          <w:sz w:val="24"/>
          <w:szCs w:val="24"/>
          <w:lang w:val="ro-RO"/>
        </w:rPr>
        <w:t>În Portugalia, situația este foarte asemănătoare celorlalte două țări, Suedia și Finlanda</w:t>
      </w:r>
      <w:r w:rsidR="00386284" w:rsidRPr="005B0FD8">
        <w:rPr>
          <w:rFonts w:ascii="Times New Roman" w:hAnsi="Times New Roman" w:cs="Times New Roman"/>
          <w:sz w:val="24"/>
          <w:szCs w:val="24"/>
          <w:lang w:val="ro-RO"/>
        </w:rPr>
        <w:t>; a</w:t>
      </w:r>
      <w:r w:rsidR="00315899" w:rsidRPr="005B0FD8">
        <w:rPr>
          <w:rFonts w:ascii="Times New Roman" w:hAnsi="Times New Roman" w:cs="Times New Roman"/>
          <w:sz w:val="24"/>
          <w:szCs w:val="24"/>
          <w:lang w:val="ro-RO"/>
        </w:rPr>
        <w:t>stfel că</w:t>
      </w:r>
      <w:r w:rsidR="00C24F18" w:rsidRPr="005B0FD8">
        <w:rPr>
          <w:rFonts w:ascii="Times New Roman" w:hAnsi="Times New Roman" w:cs="Times New Roman"/>
          <w:sz w:val="24"/>
          <w:szCs w:val="24"/>
          <w:lang w:val="ro-RO"/>
        </w:rPr>
        <w:t>,</w:t>
      </w:r>
      <w:r w:rsidR="00315899" w:rsidRPr="005B0FD8">
        <w:rPr>
          <w:rFonts w:ascii="Times New Roman" w:hAnsi="Times New Roman" w:cs="Times New Roman"/>
          <w:sz w:val="24"/>
          <w:szCs w:val="24"/>
          <w:lang w:val="ro-RO"/>
        </w:rPr>
        <w:t xml:space="preserve"> partidele politice</w:t>
      </w:r>
      <w:r w:rsidR="00386284" w:rsidRPr="005B0FD8">
        <w:rPr>
          <w:rFonts w:ascii="Times New Roman" w:hAnsi="Times New Roman" w:cs="Times New Roman"/>
          <w:sz w:val="24"/>
          <w:szCs w:val="24"/>
          <w:lang w:val="ro-RO"/>
        </w:rPr>
        <w:t>,</w:t>
      </w:r>
      <w:r w:rsidR="00315899" w:rsidRPr="005B0FD8">
        <w:rPr>
          <w:rFonts w:ascii="Times New Roman" w:hAnsi="Times New Roman" w:cs="Times New Roman"/>
          <w:sz w:val="24"/>
          <w:szCs w:val="24"/>
          <w:lang w:val="ro-RO"/>
        </w:rPr>
        <w:t xml:space="preserve"> pentru a exista din punct de vedere juridic, sunt nevoite </w:t>
      </w:r>
      <w:r w:rsidR="000848A6" w:rsidRPr="005B0FD8">
        <w:rPr>
          <w:rFonts w:ascii="Times New Roman" w:hAnsi="Times New Roman" w:cs="Times New Roman"/>
          <w:sz w:val="24"/>
          <w:szCs w:val="24"/>
          <w:lang w:val="ro-RO"/>
        </w:rPr>
        <w:t>”</w:t>
      </w:r>
      <w:r w:rsidR="00315899" w:rsidRPr="005B0FD8">
        <w:rPr>
          <w:rFonts w:ascii="Times New Roman" w:hAnsi="Times New Roman" w:cs="Times New Roman"/>
          <w:sz w:val="24"/>
          <w:szCs w:val="24"/>
          <w:lang w:val="ro-RO"/>
        </w:rPr>
        <w:t>să</w:t>
      </w:r>
      <w:r w:rsidR="00386284" w:rsidRPr="005B0FD8">
        <w:rPr>
          <w:rFonts w:ascii="Times New Roman" w:hAnsi="Times New Roman" w:cs="Times New Roman"/>
          <w:sz w:val="24"/>
          <w:szCs w:val="24"/>
          <w:lang w:val="ro-RO"/>
        </w:rPr>
        <w:t xml:space="preserve"> înainteze o cerere </w:t>
      </w:r>
      <w:r w:rsidR="00315899" w:rsidRPr="005B0FD8">
        <w:rPr>
          <w:rFonts w:ascii="Times New Roman" w:hAnsi="Times New Roman" w:cs="Times New Roman"/>
          <w:sz w:val="24"/>
          <w:szCs w:val="24"/>
          <w:lang w:val="ro-RO"/>
        </w:rPr>
        <w:t>Curț</w:t>
      </w:r>
      <w:r w:rsidR="00386284" w:rsidRPr="005B0FD8">
        <w:rPr>
          <w:rFonts w:ascii="Times New Roman" w:hAnsi="Times New Roman" w:cs="Times New Roman"/>
          <w:sz w:val="24"/>
          <w:szCs w:val="24"/>
          <w:lang w:val="ro-RO"/>
        </w:rPr>
        <w:t>ii Constituționale, însoțită</w:t>
      </w:r>
      <w:r w:rsidR="00315899" w:rsidRPr="005B0FD8">
        <w:rPr>
          <w:rFonts w:ascii="Times New Roman" w:hAnsi="Times New Roman" w:cs="Times New Roman"/>
          <w:sz w:val="24"/>
          <w:szCs w:val="24"/>
          <w:lang w:val="ro-RO"/>
        </w:rPr>
        <w:t xml:space="preserve"> de semnăturile a 7,500 de alegători, de proiectul statutului, de declarația de principii </w:t>
      </w:r>
      <w:r w:rsidR="00315899" w:rsidRPr="005B0FD8">
        <w:rPr>
          <w:rFonts w:ascii="Times New Roman" w:hAnsi="Times New Roman" w:cs="Times New Roman"/>
          <w:sz w:val="24"/>
          <w:szCs w:val="24"/>
          <w:lang w:val="ro-RO"/>
        </w:rPr>
        <w:lastRenderedPageBreak/>
        <w:t>sau de programul politic și de denumirea, acronimul și simbolul partidului.</w:t>
      </w:r>
      <w:r w:rsidR="000848A6" w:rsidRPr="005B0FD8">
        <w:rPr>
          <w:rFonts w:ascii="Times New Roman" w:hAnsi="Times New Roman" w:cs="Times New Roman"/>
          <w:sz w:val="24"/>
          <w:szCs w:val="24"/>
          <w:lang w:val="ro-RO"/>
        </w:rPr>
        <w:t>”</w:t>
      </w:r>
      <w:r w:rsidR="000848A6" w:rsidRPr="005B0FD8">
        <w:rPr>
          <w:rStyle w:val="FootnoteReference"/>
          <w:rFonts w:ascii="Times New Roman" w:hAnsi="Times New Roman" w:cs="Times New Roman"/>
          <w:sz w:val="24"/>
          <w:szCs w:val="24"/>
          <w:lang w:val="ro-RO"/>
        </w:rPr>
        <w:footnoteReference w:id="24"/>
      </w:r>
      <w:r w:rsidR="00BD50BC" w:rsidRPr="005B0FD8">
        <w:rPr>
          <w:rFonts w:ascii="Times New Roman" w:hAnsi="Times New Roman" w:cs="Times New Roman"/>
          <w:sz w:val="24"/>
          <w:szCs w:val="24"/>
          <w:lang w:val="ro-RO"/>
        </w:rPr>
        <w:t xml:space="preserve"> Din datele prezentate mai sus se distinge cu claritate faptul că, dacă la prima vedere condițiile de înregistrare a partidelor par facile</w:t>
      </w:r>
      <w:r w:rsidR="00DC0BE7" w:rsidRPr="005B0FD8">
        <w:rPr>
          <w:rFonts w:ascii="Times New Roman" w:hAnsi="Times New Roman" w:cs="Times New Roman"/>
          <w:sz w:val="24"/>
          <w:szCs w:val="24"/>
          <w:lang w:val="ro-RO"/>
        </w:rPr>
        <w:t xml:space="preserve"> în aceste trei țări</w:t>
      </w:r>
      <w:r w:rsidR="00BD50BC" w:rsidRPr="005B0FD8">
        <w:rPr>
          <w:rFonts w:ascii="Times New Roman" w:hAnsi="Times New Roman" w:cs="Times New Roman"/>
          <w:sz w:val="24"/>
          <w:szCs w:val="24"/>
          <w:lang w:val="ro-RO"/>
        </w:rPr>
        <w:t>, acest lucru se datoarează tocmai unui prag anterio</w:t>
      </w:r>
      <w:r w:rsidR="00591018" w:rsidRPr="005B0FD8">
        <w:rPr>
          <w:rFonts w:ascii="Times New Roman" w:hAnsi="Times New Roman" w:cs="Times New Roman"/>
          <w:sz w:val="24"/>
          <w:szCs w:val="24"/>
          <w:lang w:val="ro-RO"/>
        </w:rPr>
        <w:t xml:space="preserve">r nu atât de ușor de trecut </w:t>
      </w:r>
      <w:r w:rsidR="00BD50BC" w:rsidRPr="005B0FD8">
        <w:rPr>
          <w:rFonts w:ascii="Times New Roman" w:hAnsi="Times New Roman" w:cs="Times New Roman"/>
          <w:sz w:val="24"/>
          <w:szCs w:val="24"/>
          <w:lang w:val="ro-RO"/>
        </w:rPr>
        <w:t>pentru a exista ca partid politic</w:t>
      </w:r>
      <w:r w:rsidR="00832F35" w:rsidRPr="005B0FD8">
        <w:rPr>
          <w:rFonts w:ascii="Times New Roman" w:hAnsi="Times New Roman" w:cs="Times New Roman"/>
          <w:sz w:val="24"/>
          <w:szCs w:val="24"/>
          <w:lang w:val="ro-RO"/>
        </w:rPr>
        <w:t>, bineînțeles, luând în calcul varianta maximală din Suedia, în care asociația dorește înregistrarea ca un partid politic.</w:t>
      </w:r>
      <w:r w:rsidR="00852CCC" w:rsidRPr="005B0FD8">
        <w:rPr>
          <w:rFonts w:ascii="Times New Roman" w:hAnsi="Times New Roman" w:cs="Times New Roman"/>
          <w:sz w:val="24"/>
          <w:szCs w:val="24"/>
          <w:lang w:val="ro-RO"/>
        </w:rPr>
        <w:t xml:space="preserve"> </w:t>
      </w:r>
      <w:r w:rsidR="00443C8A" w:rsidRPr="005B0FD8">
        <w:rPr>
          <w:rFonts w:ascii="Times New Roman" w:hAnsi="Times New Roman" w:cs="Times New Roman"/>
          <w:sz w:val="24"/>
          <w:szCs w:val="24"/>
          <w:lang w:val="ro-RO"/>
        </w:rPr>
        <w:t xml:space="preserve">Ignorând </w:t>
      </w:r>
      <w:r>
        <w:rPr>
          <w:rFonts w:ascii="Times New Roman" w:hAnsi="Times New Roman" w:cs="Times New Roman"/>
          <w:sz w:val="24"/>
          <w:szCs w:val="24"/>
          <w:lang w:val="ro-RO"/>
        </w:rPr>
        <w:t xml:space="preserve">însă </w:t>
      </w:r>
      <w:r w:rsidR="00443C8A" w:rsidRPr="005B0FD8">
        <w:rPr>
          <w:rFonts w:ascii="Times New Roman" w:hAnsi="Times New Roman" w:cs="Times New Roman"/>
          <w:sz w:val="24"/>
          <w:szCs w:val="24"/>
          <w:lang w:val="ro-RO"/>
        </w:rPr>
        <w:t>var</w:t>
      </w:r>
      <w:r w:rsidR="00177030" w:rsidRPr="005B0FD8">
        <w:rPr>
          <w:rFonts w:ascii="Times New Roman" w:hAnsi="Times New Roman" w:cs="Times New Roman"/>
          <w:sz w:val="24"/>
          <w:szCs w:val="24"/>
          <w:lang w:val="ro-RO"/>
        </w:rPr>
        <w:t>ianta în care un partid politic î</w:t>
      </w:r>
      <w:r w:rsidR="00443C8A" w:rsidRPr="005B0FD8">
        <w:rPr>
          <w:rFonts w:ascii="Times New Roman" w:hAnsi="Times New Roman" w:cs="Times New Roman"/>
          <w:sz w:val="24"/>
          <w:szCs w:val="24"/>
          <w:lang w:val="ro-RO"/>
        </w:rPr>
        <w:t>și dorește să fie unul înregistrat, în Suedia,</w:t>
      </w:r>
      <w:r w:rsidR="00C24F18" w:rsidRPr="005B0FD8">
        <w:rPr>
          <w:rFonts w:ascii="Times New Roman" w:hAnsi="Times New Roman" w:cs="Times New Roman"/>
          <w:sz w:val="24"/>
          <w:szCs w:val="24"/>
          <w:lang w:val="ro-RO"/>
        </w:rPr>
        <w:t xml:space="preserve"> </w:t>
      </w:r>
      <w:r w:rsidR="00443C8A" w:rsidRPr="005B0FD8">
        <w:rPr>
          <w:rFonts w:ascii="Times New Roman" w:hAnsi="Times New Roman" w:cs="Times New Roman"/>
          <w:sz w:val="24"/>
          <w:szCs w:val="24"/>
          <w:lang w:val="ro-RO"/>
        </w:rPr>
        <w:t>există cel mai facil acces la exercitarea drepturilor electorale pentru un cetățean</w:t>
      </w:r>
      <w:r w:rsidR="00397784" w:rsidRPr="005B0FD8">
        <w:rPr>
          <w:rFonts w:ascii="Times New Roman" w:hAnsi="Times New Roman" w:cs="Times New Roman"/>
          <w:sz w:val="24"/>
          <w:szCs w:val="24"/>
          <w:lang w:val="ro-RO"/>
        </w:rPr>
        <w:t xml:space="preserve"> european</w:t>
      </w:r>
      <w:r w:rsidR="00443C8A" w:rsidRPr="005B0FD8">
        <w:rPr>
          <w:rFonts w:ascii="Times New Roman" w:hAnsi="Times New Roman" w:cs="Times New Roman"/>
          <w:sz w:val="24"/>
          <w:szCs w:val="24"/>
          <w:lang w:val="ro-RO"/>
        </w:rPr>
        <w:t>, cerându-i-se</w:t>
      </w:r>
      <w:r w:rsidR="00B75AC3">
        <w:rPr>
          <w:rFonts w:ascii="Times New Roman" w:hAnsi="Times New Roman" w:cs="Times New Roman"/>
          <w:sz w:val="24"/>
          <w:szCs w:val="24"/>
          <w:lang w:val="ro-RO"/>
        </w:rPr>
        <w:t xml:space="preserve"> doar </w:t>
      </w:r>
      <w:r w:rsidR="00443C8A" w:rsidRPr="005B0FD8">
        <w:rPr>
          <w:rFonts w:ascii="Times New Roman" w:hAnsi="Times New Roman" w:cs="Times New Roman"/>
          <w:sz w:val="24"/>
          <w:szCs w:val="24"/>
          <w:lang w:val="ro-RO"/>
        </w:rPr>
        <w:t>înregistrarea ca asociație, chiar</w:t>
      </w:r>
      <w:r w:rsidR="00B75AC3">
        <w:rPr>
          <w:rFonts w:ascii="Times New Roman" w:hAnsi="Times New Roman" w:cs="Times New Roman"/>
          <w:sz w:val="24"/>
          <w:szCs w:val="24"/>
          <w:lang w:val="ro-RO"/>
        </w:rPr>
        <w:t xml:space="preserve"> și numai de o singură persoană</w:t>
      </w:r>
      <w:r w:rsidR="003D3D75">
        <w:rPr>
          <w:rFonts w:ascii="Times New Roman" w:hAnsi="Times New Roman" w:cs="Times New Roman"/>
          <w:sz w:val="24"/>
          <w:szCs w:val="24"/>
          <w:lang w:val="ro-RO"/>
        </w:rPr>
        <w:t>, pentru care nu presupune decât o formalitate administrativă</w:t>
      </w:r>
      <w:r w:rsidR="00B75AC3">
        <w:rPr>
          <w:rFonts w:ascii="Times New Roman" w:hAnsi="Times New Roman" w:cs="Times New Roman"/>
          <w:sz w:val="24"/>
          <w:szCs w:val="24"/>
          <w:lang w:val="ro-RO"/>
        </w:rPr>
        <w:t>.</w:t>
      </w:r>
      <w:r w:rsidR="00C24F18" w:rsidRPr="005B0FD8">
        <w:rPr>
          <w:rFonts w:ascii="Times New Roman" w:hAnsi="Times New Roman" w:cs="Times New Roman"/>
          <w:sz w:val="24"/>
          <w:szCs w:val="24"/>
          <w:lang w:val="ro-RO"/>
        </w:rPr>
        <w:t xml:space="preserve">În </w:t>
      </w:r>
      <w:r w:rsidR="00E5204C" w:rsidRPr="005B0FD8">
        <w:rPr>
          <w:rFonts w:ascii="Times New Roman" w:hAnsi="Times New Roman" w:cs="Times New Roman"/>
          <w:sz w:val="24"/>
          <w:szCs w:val="24"/>
          <w:lang w:val="ro-RO"/>
        </w:rPr>
        <w:t>aceeași logică</w:t>
      </w:r>
      <w:r>
        <w:rPr>
          <w:rFonts w:ascii="Times New Roman" w:hAnsi="Times New Roman" w:cs="Times New Roman"/>
          <w:sz w:val="24"/>
          <w:szCs w:val="24"/>
          <w:lang w:val="ro-RO"/>
        </w:rPr>
        <w:t>, Irlanda dă posibilitatea</w:t>
      </w:r>
      <w:r w:rsidR="00E5204C" w:rsidRPr="005B0FD8">
        <w:rPr>
          <w:rFonts w:ascii="Times New Roman" w:hAnsi="Times New Roman" w:cs="Times New Roman"/>
          <w:sz w:val="24"/>
          <w:szCs w:val="24"/>
          <w:lang w:val="ro-RO"/>
        </w:rPr>
        <w:t xml:space="preserve"> un</w:t>
      </w:r>
      <w:r>
        <w:rPr>
          <w:rFonts w:ascii="Times New Roman" w:hAnsi="Times New Roman" w:cs="Times New Roman"/>
          <w:sz w:val="24"/>
          <w:szCs w:val="24"/>
          <w:lang w:val="ro-RO"/>
        </w:rPr>
        <w:t xml:space="preserve"> aparent liber unui</w:t>
      </w:r>
      <w:r w:rsidR="00E5204C" w:rsidRPr="005B0FD8">
        <w:rPr>
          <w:rFonts w:ascii="Times New Roman" w:hAnsi="Times New Roman" w:cs="Times New Roman"/>
          <w:sz w:val="24"/>
          <w:szCs w:val="24"/>
          <w:lang w:val="ro-RO"/>
        </w:rPr>
        <w:t xml:space="preserve"> </w:t>
      </w:r>
      <w:r w:rsidR="00C24F18" w:rsidRPr="005B0FD8">
        <w:rPr>
          <w:rFonts w:ascii="Times New Roman" w:hAnsi="Times New Roman" w:cs="Times New Roman"/>
          <w:sz w:val="24"/>
          <w:szCs w:val="24"/>
          <w:lang w:val="ro-RO"/>
        </w:rPr>
        <w:t>partid care dorește să se înscrie la alegerile europarlamentare</w:t>
      </w:r>
      <w:r>
        <w:rPr>
          <w:rFonts w:ascii="Times New Roman" w:hAnsi="Times New Roman" w:cs="Times New Roman"/>
          <w:sz w:val="24"/>
          <w:szCs w:val="24"/>
          <w:lang w:val="ro-RO"/>
        </w:rPr>
        <w:t>, fiind însă necesar</w:t>
      </w:r>
      <w:r w:rsidR="00C24F18" w:rsidRPr="005B0FD8">
        <w:rPr>
          <w:rFonts w:ascii="Times New Roman" w:hAnsi="Times New Roman" w:cs="Times New Roman"/>
          <w:sz w:val="24"/>
          <w:szCs w:val="24"/>
          <w:lang w:val="ro-RO"/>
        </w:rPr>
        <w:t xml:space="preserve"> să aibă cel puțin 300 de membri,</w:t>
      </w:r>
      <w:r w:rsidR="00C24F18" w:rsidRPr="005B0FD8">
        <w:rPr>
          <w:rStyle w:val="FootnoteReference"/>
          <w:rFonts w:ascii="Times New Roman" w:hAnsi="Times New Roman" w:cs="Times New Roman"/>
          <w:sz w:val="24"/>
          <w:szCs w:val="24"/>
          <w:lang w:val="ro-RO"/>
        </w:rPr>
        <w:footnoteReference w:id="25"/>
      </w:r>
      <w:r w:rsidR="00C24F18" w:rsidRPr="005B0FD8">
        <w:rPr>
          <w:rFonts w:ascii="Times New Roman" w:hAnsi="Times New Roman" w:cs="Times New Roman"/>
          <w:sz w:val="24"/>
          <w:szCs w:val="24"/>
          <w:lang w:val="ro-RO"/>
        </w:rPr>
        <w:t xml:space="preserve"> solicitare asemănătoare cu cea din Croația, unde sunt necesari cel puțin 100 de membri fondatori.</w:t>
      </w:r>
      <w:r w:rsidR="00C24F18" w:rsidRPr="005B0FD8">
        <w:rPr>
          <w:rStyle w:val="FootnoteReference"/>
          <w:rFonts w:ascii="Times New Roman" w:hAnsi="Times New Roman" w:cs="Times New Roman"/>
          <w:sz w:val="24"/>
          <w:szCs w:val="24"/>
          <w:lang w:val="ro-RO"/>
        </w:rPr>
        <w:footnoteReference w:id="26"/>
      </w:r>
    </w:p>
    <w:p w:rsidR="00C24F18" w:rsidRPr="005B0FD8" w:rsidRDefault="00346515" w:rsidP="00346515">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Raportat la mărimea populației cu drept de vot, Danemarca este țara care practică cele mai aspre condiții de înregistrare a candidaților din Uniunea Europeană pentru alegerile pentru membrii PE. Astfel, România solicită aproximativ 1,1% semn</w:t>
      </w:r>
      <w:r w:rsidR="00C85D41">
        <w:rPr>
          <w:rFonts w:ascii="Times New Roman" w:hAnsi="Times New Roman" w:cs="Times New Roman"/>
          <w:sz w:val="24"/>
          <w:szCs w:val="24"/>
          <w:lang w:val="ro-RO"/>
        </w:rPr>
        <w:t>ă</w:t>
      </w:r>
      <w:r>
        <w:rPr>
          <w:rFonts w:ascii="Times New Roman" w:hAnsi="Times New Roman" w:cs="Times New Roman"/>
          <w:sz w:val="24"/>
          <w:szCs w:val="24"/>
          <w:lang w:val="ro-RO"/>
        </w:rPr>
        <w:t>turi din populația înregistrată cu drept de vot, iar Danemarca 1,6%.</w:t>
      </w:r>
      <w:r>
        <w:rPr>
          <w:rFonts w:ascii="Times New Roman" w:hAnsi="Times New Roman" w:cs="Times New Roman"/>
          <w:sz w:val="24"/>
          <w:szCs w:val="24"/>
          <w:lang w:val="ro-RO"/>
        </w:rPr>
        <w:t xml:space="preserve"> </w:t>
      </w:r>
      <w:r w:rsidR="00467830">
        <w:rPr>
          <w:rFonts w:ascii="Times New Roman" w:hAnsi="Times New Roman" w:cs="Times New Roman"/>
          <w:sz w:val="24"/>
          <w:szCs w:val="24"/>
          <w:lang w:val="ro-RO"/>
        </w:rPr>
        <w:t xml:space="preserve">În </w:t>
      </w:r>
      <w:r>
        <w:rPr>
          <w:rFonts w:ascii="Times New Roman" w:hAnsi="Times New Roman" w:cs="Times New Roman"/>
          <w:sz w:val="24"/>
          <w:szCs w:val="24"/>
          <w:lang w:val="ro-RO"/>
        </w:rPr>
        <w:t>Danemarca</w:t>
      </w:r>
      <w:r w:rsidR="00E37935" w:rsidRPr="005B0FD8">
        <w:rPr>
          <w:rFonts w:ascii="Times New Roman" w:hAnsi="Times New Roman" w:cs="Times New Roman"/>
          <w:sz w:val="24"/>
          <w:szCs w:val="24"/>
          <w:lang w:val="ro-RO"/>
        </w:rPr>
        <w:t xml:space="preserve"> </w:t>
      </w:r>
      <w:r w:rsidR="00467830">
        <w:rPr>
          <w:rFonts w:ascii="Times New Roman" w:hAnsi="Times New Roman" w:cs="Times New Roman"/>
          <w:sz w:val="24"/>
          <w:szCs w:val="24"/>
          <w:lang w:val="ro-RO"/>
        </w:rPr>
        <w:t xml:space="preserve">se </w:t>
      </w:r>
      <w:r w:rsidR="00E37935" w:rsidRPr="005B0FD8">
        <w:rPr>
          <w:rFonts w:ascii="Times New Roman" w:hAnsi="Times New Roman" w:cs="Times New Roman"/>
          <w:sz w:val="24"/>
          <w:szCs w:val="24"/>
          <w:lang w:val="ro-RO"/>
        </w:rPr>
        <w:t>cer</w:t>
      </w:r>
      <w:r w:rsidR="00467830">
        <w:rPr>
          <w:rFonts w:ascii="Times New Roman" w:hAnsi="Times New Roman" w:cs="Times New Roman"/>
          <w:sz w:val="24"/>
          <w:szCs w:val="24"/>
          <w:lang w:val="ro-RO"/>
        </w:rPr>
        <w:t>e</w:t>
      </w:r>
      <w:r w:rsidR="00E37935" w:rsidRPr="005B0FD8">
        <w:rPr>
          <w:rFonts w:ascii="Times New Roman" w:hAnsi="Times New Roman" w:cs="Times New Roman"/>
          <w:sz w:val="24"/>
          <w:szCs w:val="24"/>
          <w:lang w:val="ro-RO"/>
        </w:rPr>
        <w:t xml:space="preserve"> strângerea a 2% semnături din numărul votanților prezenți la vot la ultimele alegeri, în 2014, care reprezintă </w:t>
      </w:r>
      <w:r w:rsidR="003F51B0">
        <w:rPr>
          <w:rFonts w:ascii="Times New Roman" w:hAnsi="Times New Roman" w:cs="Times New Roman"/>
          <w:sz w:val="24"/>
          <w:szCs w:val="24"/>
          <w:lang w:val="ro-RO"/>
        </w:rPr>
        <w:t>71,200</w:t>
      </w:r>
      <w:r w:rsidR="00D97BB1">
        <w:rPr>
          <w:rFonts w:ascii="Times New Roman" w:hAnsi="Times New Roman" w:cs="Times New Roman"/>
          <w:sz w:val="24"/>
          <w:szCs w:val="24"/>
          <w:lang w:val="ro-RO"/>
        </w:rPr>
        <w:t xml:space="preserve"> de cetățeni. Doar pentru </w:t>
      </w:r>
      <w:r w:rsidR="00E37935" w:rsidRPr="005B0FD8">
        <w:rPr>
          <w:rFonts w:ascii="Times New Roman" w:hAnsi="Times New Roman" w:cs="Times New Roman"/>
          <w:sz w:val="24"/>
          <w:szCs w:val="24"/>
          <w:lang w:val="ro-RO"/>
        </w:rPr>
        <w:t>partidele noi, sunt necesare semnăturile a cel puțin 2% din alegătorii care s-au exprimat la ultimele alegeri, în vreme ce, pentru partidele care sunt</w:t>
      </w:r>
      <w:r w:rsidR="001A517F" w:rsidRPr="005B0FD8">
        <w:rPr>
          <w:rFonts w:ascii="Times New Roman" w:hAnsi="Times New Roman" w:cs="Times New Roman"/>
          <w:sz w:val="24"/>
          <w:szCs w:val="24"/>
          <w:lang w:val="ro-RO"/>
        </w:rPr>
        <w:t xml:space="preserve"> deja</w:t>
      </w:r>
      <w:r w:rsidR="00E37935" w:rsidRPr="005B0FD8">
        <w:rPr>
          <w:rFonts w:ascii="Times New Roman" w:hAnsi="Times New Roman" w:cs="Times New Roman"/>
          <w:sz w:val="24"/>
          <w:szCs w:val="24"/>
          <w:lang w:val="ro-RO"/>
        </w:rPr>
        <w:t xml:space="preserve"> reprezentate î</w:t>
      </w:r>
      <w:r w:rsidR="00175895" w:rsidRPr="005B0FD8">
        <w:rPr>
          <w:rFonts w:ascii="Times New Roman" w:hAnsi="Times New Roman" w:cs="Times New Roman"/>
          <w:sz w:val="24"/>
          <w:szCs w:val="24"/>
          <w:lang w:val="ro-RO"/>
        </w:rPr>
        <w:t xml:space="preserve">n Parlamentul Danemercii </w:t>
      </w:r>
      <w:r w:rsidR="001A517F" w:rsidRPr="005B0FD8">
        <w:rPr>
          <w:rFonts w:ascii="Times New Roman" w:hAnsi="Times New Roman" w:cs="Times New Roman"/>
          <w:sz w:val="24"/>
          <w:szCs w:val="24"/>
          <w:lang w:val="ro-RO"/>
        </w:rPr>
        <w:t>sau î</w:t>
      </w:r>
      <w:r w:rsidR="00175895" w:rsidRPr="005B0FD8">
        <w:rPr>
          <w:rFonts w:ascii="Times New Roman" w:hAnsi="Times New Roman" w:cs="Times New Roman"/>
          <w:sz w:val="24"/>
          <w:szCs w:val="24"/>
          <w:lang w:val="ro-RO"/>
        </w:rPr>
        <w:t xml:space="preserve">n Parlamentul European, la momentul depunerii candidaturii, </w:t>
      </w:r>
      <w:r w:rsidR="008E34A3">
        <w:rPr>
          <w:rFonts w:ascii="Times New Roman" w:hAnsi="Times New Roman" w:cs="Times New Roman"/>
          <w:sz w:val="24"/>
          <w:szCs w:val="24"/>
          <w:lang w:val="ro-RO"/>
        </w:rPr>
        <w:t xml:space="preserve">nu li </w:t>
      </w:r>
      <w:r w:rsidR="0065552E">
        <w:rPr>
          <w:rFonts w:ascii="Times New Roman" w:hAnsi="Times New Roman" w:cs="Times New Roman"/>
          <w:sz w:val="24"/>
          <w:szCs w:val="24"/>
          <w:lang w:val="ro-RO"/>
        </w:rPr>
        <w:t xml:space="preserve">se cere </w:t>
      </w:r>
      <w:r w:rsidR="008E34A3">
        <w:rPr>
          <w:rFonts w:ascii="Times New Roman" w:hAnsi="Times New Roman" w:cs="Times New Roman"/>
          <w:sz w:val="24"/>
          <w:szCs w:val="24"/>
          <w:lang w:val="ro-RO"/>
        </w:rPr>
        <w:t xml:space="preserve">îndeplinirea niciunei condiții, ci </w:t>
      </w:r>
      <w:r w:rsidR="00175895" w:rsidRPr="005B0FD8">
        <w:rPr>
          <w:rFonts w:ascii="Times New Roman" w:hAnsi="Times New Roman" w:cs="Times New Roman"/>
          <w:sz w:val="24"/>
          <w:szCs w:val="24"/>
          <w:lang w:val="ro-RO"/>
        </w:rPr>
        <w:t>au dreptul</w:t>
      </w:r>
      <w:r w:rsidR="008E34A3">
        <w:rPr>
          <w:rFonts w:ascii="Times New Roman" w:hAnsi="Times New Roman" w:cs="Times New Roman"/>
          <w:sz w:val="24"/>
          <w:szCs w:val="24"/>
          <w:lang w:val="ro-RO"/>
        </w:rPr>
        <w:t xml:space="preserve"> conform legii,</w:t>
      </w:r>
      <w:r w:rsidR="00175895" w:rsidRPr="005B0FD8">
        <w:rPr>
          <w:rFonts w:ascii="Times New Roman" w:hAnsi="Times New Roman" w:cs="Times New Roman"/>
          <w:sz w:val="24"/>
          <w:szCs w:val="24"/>
          <w:lang w:val="ro-RO"/>
        </w:rPr>
        <w:t xml:space="preserve"> să prezinte liste de candidați</w:t>
      </w:r>
      <w:r w:rsidR="00E37935" w:rsidRPr="005B0FD8">
        <w:rPr>
          <w:rFonts w:ascii="Times New Roman" w:hAnsi="Times New Roman" w:cs="Times New Roman"/>
          <w:sz w:val="24"/>
          <w:szCs w:val="24"/>
          <w:lang w:val="ro-RO"/>
        </w:rPr>
        <w:t>.</w:t>
      </w:r>
      <w:r w:rsidR="00E37935" w:rsidRPr="005B0FD8">
        <w:rPr>
          <w:rStyle w:val="FootnoteReference"/>
          <w:rFonts w:ascii="Times New Roman" w:hAnsi="Times New Roman" w:cs="Times New Roman"/>
          <w:sz w:val="24"/>
          <w:szCs w:val="24"/>
          <w:lang w:val="ro-RO"/>
        </w:rPr>
        <w:footnoteReference w:id="27"/>
      </w:r>
      <w:r w:rsidR="00E37935" w:rsidRPr="005B0FD8">
        <w:rPr>
          <w:rFonts w:ascii="Times New Roman" w:hAnsi="Times New Roman" w:cs="Times New Roman"/>
          <w:sz w:val="24"/>
          <w:szCs w:val="24"/>
          <w:lang w:val="ro-RO"/>
        </w:rPr>
        <w:t xml:space="preserve"> </w:t>
      </w:r>
      <w:r w:rsidR="00175895" w:rsidRPr="005B0FD8">
        <w:rPr>
          <w:rFonts w:ascii="Times New Roman" w:hAnsi="Times New Roman" w:cs="Times New Roman"/>
          <w:sz w:val="24"/>
          <w:szCs w:val="24"/>
          <w:lang w:val="ro-RO"/>
        </w:rPr>
        <w:t xml:space="preserve"> </w:t>
      </w:r>
    </w:p>
    <w:p w:rsidR="00C24F18" w:rsidRPr="005B0FD8" w:rsidRDefault="00C24F18" w:rsidP="002566BB">
      <w:pPr>
        <w:spacing w:after="0" w:line="240" w:lineRule="auto"/>
        <w:jc w:val="both"/>
        <w:rPr>
          <w:rFonts w:ascii="Times New Roman" w:hAnsi="Times New Roman" w:cs="Times New Roman"/>
          <w:sz w:val="24"/>
          <w:szCs w:val="24"/>
          <w:lang w:val="ro-RO"/>
        </w:rPr>
      </w:pPr>
    </w:p>
    <w:p w:rsidR="000B0471" w:rsidRPr="005B0FD8" w:rsidRDefault="003244A3" w:rsidP="002566BB">
      <w:pPr>
        <w:spacing w:after="0" w:line="240" w:lineRule="auto"/>
        <w:jc w:val="both"/>
        <w:rPr>
          <w:rFonts w:ascii="Times New Roman" w:hAnsi="Times New Roman" w:cs="Times New Roman"/>
          <w:sz w:val="24"/>
          <w:szCs w:val="24"/>
          <w:lang w:val="ro-RO"/>
        </w:rPr>
      </w:pPr>
      <w:r>
        <w:rPr>
          <w:noProof/>
          <w:lang w:eastAsia="en-GB" w:bidi="te-IN"/>
        </w:rPr>
        <w:drawing>
          <wp:inline distT="0" distB="0" distL="0" distR="0" wp14:anchorId="66EF8A29" wp14:editId="6C27A3BB">
            <wp:extent cx="6181344" cy="1733702"/>
            <wp:effectExtent l="0" t="0" r="101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0471" w:rsidRPr="005B0FD8" w:rsidRDefault="000B0471" w:rsidP="002566BB">
      <w:pPr>
        <w:spacing w:after="0" w:line="240" w:lineRule="auto"/>
        <w:jc w:val="both"/>
        <w:rPr>
          <w:rFonts w:ascii="Times New Roman" w:hAnsi="Times New Roman" w:cs="Times New Roman"/>
          <w:sz w:val="24"/>
          <w:szCs w:val="24"/>
          <w:lang w:val="ro-RO"/>
        </w:rPr>
      </w:pPr>
    </w:p>
    <w:p w:rsidR="000B0471" w:rsidRPr="00EE7467" w:rsidRDefault="004768DF" w:rsidP="002566BB">
      <w:pPr>
        <w:spacing w:after="0" w:line="240" w:lineRule="auto"/>
        <w:jc w:val="both"/>
        <w:rPr>
          <w:rFonts w:ascii="Times New Roman" w:hAnsi="Times New Roman" w:cs="Times New Roman"/>
          <w:bCs/>
          <w:i/>
          <w:iCs/>
          <w:sz w:val="24"/>
          <w:szCs w:val="24"/>
          <w:lang w:val="ro-RO"/>
        </w:rPr>
      </w:pPr>
      <w:r w:rsidRPr="00EE7467">
        <w:rPr>
          <w:rFonts w:ascii="Times New Roman" w:hAnsi="Times New Roman" w:cs="Times New Roman"/>
          <w:bCs/>
          <w:i/>
          <w:iCs/>
          <w:sz w:val="24"/>
          <w:szCs w:val="24"/>
          <w:lang w:val="ro-RO"/>
        </w:rPr>
        <w:t>Grafic</w:t>
      </w:r>
      <w:r w:rsidR="0040360C" w:rsidRPr="00EE7467">
        <w:rPr>
          <w:rFonts w:ascii="Times New Roman" w:hAnsi="Times New Roman" w:cs="Times New Roman"/>
          <w:bCs/>
          <w:i/>
          <w:iCs/>
          <w:sz w:val="24"/>
          <w:szCs w:val="24"/>
          <w:lang w:val="ro-RO"/>
        </w:rPr>
        <w:t xml:space="preserve"> 1. </w:t>
      </w:r>
      <w:r w:rsidRPr="00EE7467">
        <w:rPr>
          <w:rFonts w:ascii="Times New Roman" w:hAnsi="Times New Roman" w:cs="Times New Roman"/>
          <w:bCs/>
          <w:i/>
          <w:iCs/>
          <w:sz w:val="24"/>
          <w:szCs w:val="24"/>
          <w:lang w:val="ro-RO"/>
        </w:rPr>
        <w:t>N</w:t>
      </w:r>
      <w:r w:rsidR="002A3A3D" w:rsidRPr="00EE7467">
        <w:rPr>
          <w:rFonts w:ascii="Times New Roman" w:hAnsi="Times New Roman" w:cs="Times New Roman"/>
          <w:bCs/>
          <w:i/>
          <w:iCs/>
          <w:sz w:val="24"/>
          <w:szCs w:val="24"/>
          <w:lang w:val="ro-RO"/>
        </w:rPr>
        <w:t>umăr de semnături ș</w:t>
      </w:r>
      <w:r w:rsidRPr="00EE7467">
        <w:rPr>
          <w:rFonts w:ascii="Times New Roman" w:hAnsi="Times New Roman" w:cs="Times New Roman"/>
          <w:bCs/>
          <w:i/>
          <w:iCs/>
          <w:sz w:val="24"/>
          <w:szCs w:val="24"/>
          <w:lang w:val="ro-RO"/>
        </w:rPr>
        <w:t>i depozit în euro solicitate în țările din UE</w:t>
      </w:r>
    </w:p>
    <w:p w:rsidR="002A3A3D" w:rsidRPr="005B0FD8" w:rsidRDefault="002A3A3D" w:rsidP="002566BB">
      <w:pPr>
        <w:spacing w:after="0" w:line="240" w:lineRule="auto"/>
        <w:jc w:val="both"/>
        <w:rPr>
          <w:rFonts w:ascii="Times New Roman" w:hAnsi="Times New Roman" w:cs="Times New Roman"/>
          <w:sz w:val="24"/>
          <w:szCs w:val="24"/>
          <w:lang w:val="ro-RO"/>
        </w:rPr>
      </w:pPr>
    </w:p>
    <w:p w:rsidR="0040360C" w:rsidRPr="005B0FD8" w:rsidRDefault="0040360C" w:rsidP="007C0B0E">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Din graficul anterior, se poate observa</w:t>
      </w:r>
      <w:r w:rsidR="008E34A3">
        <w:rPr>
          <w:rFonts w:ascii="Times New Roman" w:hAnsi="Times New Roman" w:cs="Times New Roman"/>
          <w:sz w:val="24"/>
          <w:szCs w:val="24"/>
          <w:lang w:val="ro-RO"/>
        </w:rPr>
        <w:t xml:space="preserve">, </w:t>
      </w:r>
      <w:r w:rsidRPr="005B0FD8">
        <w:rPr>
          <w:rFonts w:ascii="Times New Roman" w:hAnsi="Times New Roman" w:cs="Times New Roman"/>
          <w:sz w:val="24"/>
          <w:szCs w:val="24"/>
          <w:lang w:val="ro-RO"/>
        </w:rPr>
        <w:t xml:space="preserve">comparativ cu celelalte țări ale UE, ce </w:t>
      </w:r>
      <w:r w:rsidR="00C12700">
        <w:rPr>
          <w:rFonts w:ascii="Times New Roman" w:hAnsi="Times New Roman" w:cs="Times New Roman"/>
          <w:sz w:val="24"/>
          <w:szCs w:val="24"/>
          <w:lang w:val="ro-RO"/>
        </w:rPr>
        <w:t>poziție ocupă</w:t>
      </w:r>
      <w:r w:rsidR="008E34A3">
        <w:rPr>
          <w:rFonts w:ascii="Times New Roman" w:hAnsi="Times New Roman" w:cs="Times New Roman"/>
          <w:sz w:val="24"/>
          <w:szCs w:val="24"/>
          <w:lang w:val="ro-RO"/>
        </w:rPr>
        <w:t xml:space="preserve"> România în această imagine a condițiilor de îndeplinit pentru candidații-partide </w:t>
      </w:r>
      <w:r w:rsidRPr="005B0FD8">
        <w:rPr>
          <w:rFonts w:ascii="Times New Roman" w:hAnsi="Times New Roman" w:cs="Times New Roman"/>
          <w:sz w:val="24"/>
          <w:szCs w:val="24"/>
          <w:lang w:val="ro-RO"/>
        </w:rPr>
        <w:t xml:space="preserve"> semnă</w:t>
      </w:r>
      <w:r w:rsidR="00054F83" w:rsidRPr="005B0FD8">
        <w:rPr>
          <w:rFonts w:ascii="Times New Roman" w:hAnsi="Times New Roman" w:cs="Times New Roman"/>
          <w:sz w:val="24"/>
          <w:szCs w:val="24"/>
          <w:lang w:val="ro-RO"/>
        </w:rPr>
        <w:t>t</w:t>
      </w:r>
      <w:r w:rsidRPr="005B0FD8">
        <w:rPr>
          <w:rFonts w:ascii="Times New Roman" w:hAnsi="Times New Roman" w:cs="Times New Roman"/>
          <w:sz w:val="24"/>
          <w:szCs w:val="24"/>
          <w:lang w:val="ro-RO"/>
        </w:rPr>
        <w:t xml:space="preserve">uri solicită România. Vârful maxim, care face discrepanță față de restul țărilor este reprezentat de România. </w:t>
      </w:r>
      <w:r w:rsidR="00406C2C" w:rsidRPr="005B0FD8">
        <w:rPr>
          <w:rFonts w:ascii="Times New Roman" w:hAnsi="Times New Roman" w:cs="Times New Roman"/>
          <w:sz w:val="24"/>
          <w:szCs w:val="24"/>
          <w:lang w:val="ro-RO"/>
        </w:rPr>
        <w:t>Alte două țări cu un număr mare de semnături sunt Danemarca și Italia</w:t>
      </w:r>
      <w:r w:rsidR="00DB6C26" w:rsidRPr="005B0FD8">
        <w:rPr>
          <w:rFonts w:ascii="Times New Roman" w:hAnsi="Times New Roman" w:cs="Times New Roman"/>
          <w:sz w:val="24"/>
          <w:szCs w:val="24"/>
          <w:lang w:val="ro-RO"/>
        </w:rPr>
        <w:t xml:space="preserve">, </w:t>
      </w:r>
      <w:r w:rsidR="008E34A3">
        <w:rPr>
          <w:rFonts w:ascii="Times New Roman" w:hAnsi="Times New Roman" w:cs="Times New Roman"/>
          <w:sz w:val="24"/>
          <w:szCs w:val="24"/>
          <w:lang w:val="ro-RO"/>
        </w:rPr>
        <w:t xml:space="preserve">mai precis, </w:t>
      </w:r>
      <w:r w:rsidR="00C12700">
        <w:rPr>
          <w:rFonts w:ascii="Times New Roman" w:hAnsi="Times New Roman" w:cs="Times New Roman"/>
          <w:sz w:val="24"/>
          <w:szCs w:val="24"/>
          <w:lang w:val="ro-RO"/>
        </w:rPr>
        <w:t>așa cum se vede,</w:t>
      </w:r>
      <w:r w:rsidR="00DB6C26" w:rsidRPr="005B0FD8">
        <w:rPr>
          <w:rFonts w:ascii="Times New Roman" w:hAnsi="Times New Roman" w:cs="Times New Roman"/>
          <w:sz w:val="24"/>
          <w:szCs w:val="24"/>
          <w:lang w:val="ro-RO"/>
        </w:rPr>
        <w:t xml:space="preserve"> </w:t>
      </w:r>
      <w:r w:rsidR="00591DCF">
        <w:rPr>
          <w:rFonts w:ascii="Times New Roman" w:hAnsi="Times New Roman" w:cs="Times New Roman"/>
          <w:sz w:val="24"/>
          <w:szCs w:val="24"/>
          <w:lang w:val="ro-RO"/>
        </w:rPr>
        <w:t>72, 200</w:t>
      </w:r>
      <w:r w:rsidR="00DB6C26" w:rsidRPr="005B0FD8">
        <w:rPr>
          <w:rFonts w:ascii="Times New Roman" w:hAnsi="Times New Roman" w:cs="Times New Roman"/>
          <w:sz w:val="24"/>
          <w:szCs w:val="24"/>
          <w:lang w:val="ro-RO"/>
        </w:rPr>
        <w:t xml:space="preserve"> de  votanți în Danemarca și într</w:t>
      </w:r>
      <w:r w:rsidR="00855204" w:rsidRPr="005B0FD8">
        <w:rPr>
          <w:rFonts w:ascii="Times New Roman" w:hAnsi="Times New Roman" w:cs="Times New Roman"/>
          <w:sz w:val="24"/>
          <w:szCs w:val="24"/>
          <w:lang w:val="ro-RO"/>
        </w:rPr>
        <w:t xml:space="preserve">e 30,000 și 35,000 de semnături în Italia. </w:t>
      </w:r>
    </w:p>
    <w:p w:rsidR="0040360C" w:rsidRPr="005B0FD8" w:rsidRDefault="0040360C" w:rsidP="002566BB">
      <w:pPr>
        <w:spacing w:after="0" w:line="240" w:lineRule="auto"/>
        <w:jc w:val="both"/>
        <w:rPr>
          <w:rFonts w:ascii="Times New Roman" w:hAnsi="Times New Roman" w:cs="Times New Roman"/>
          <w:sz w:val="24"/>
          <w:szCs w:val="24"/>
          <w:lang w:val="ro-RO"/>
        </w:rPr>
      </w:pPr>
    </w:p>
    <w:p w:rsidR="0040360C" w:rsidRPr="005B0FD8" w:rsidRDefault="0040360C" w:rsidP="002566BB">
      <w:pPr>
        <w:spacing w:after="0" w:line="240" w:lineRule="auto"/>
        <w:jc w:val="both"/>
        <w:rPr>
          <w:rFonts w:ascii="Times New Roman" w:hAnsi="Times New Roman" w:cs="Times New Roman"/>
          <w:sz w:val="24"/>
          <w:szCs w:val="24"/>
          <w:lang w:val="ro-RO"/>
        </w:rPr>
      </w:pPr>
    </w:p>
    <w:p w:rsidR="00133049" w:rsidRPr="005B0FD8" w:rsidRDefault="00133049" w:rsidP="002566BB">
      <w:pPr>
        <w:spacing w:after="0" w:line="240" w:lineRule="auto"/>
        <w:jc w:val="both"/>
        <w:rPr>
          <w:rFonts w:ascii="Times New Roman" w:hAnsi="Times New Roman" w:cs="Times New Roman"/>
          <w:sz w:val="24"/>
          <w:szCs w:val="24"/>
          <w:lang w:val="ro-RO"/>
        </w:rPr>
      </w:pPr>
    </w:p>
    <w:p w:rsidR="00133049" w:rsidRPr="005B0FD8" w:rsidRDefault="00133049" w:rsidP="002566BB">
      <w:pPr>
        <w:spacing w:after="0" w:line="240" w:lineRule="auto"/>
        <w:jc w:val="both"/>
        <w:rPr>
          <w:rFonts w:ascii="Times New Roman" w:hAnsi="Times New Roman" w:cs="Times New Roman"/>
          <w:sz w:val="24"/>
          <w:szCs w:val="24"/>
          <w:lang w:val="ro-RO"/>
        </w:rPr>
      </w:pPr>
      <w:r w:rsidRPr="005B0FD8">
        <w:rPr>
          <w:noProof/>
          <w:lang w:eastAsia="en-GB" w:bidi="te-IN"/>
        </w:rPr>
        <w:drawing>
          <wp:inline distT="0" distB="0" distL="0" distR="0" wp14:anchorId="0F0F0E3F" wp14:editId="7FB40A10">
            <wp:extent cx="5044770" cy="2340864"/>
            <wp:effectExtent l="0" t="0" r="381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3049" w:rsidRPr="005B0FD8" w:rsidRDefault="00133049" w:rsidP="002566BB">
      <w:pPr>
        <w:spacing w:after="0" w:line="240" w:lineRule="auto"/>
        <w:jc w:val="both"/>
        <w:rPr>
          <w:rFonts w:ascii="Times New Roman" w:hAnsi="Times New Roman" w:cs="Times New Roman"/>
          <w:sz w:val="24"/>
          <w:szCs w:val="24"/>
          <w:lang w:val="ro-RO"/>
        </w:rPr>
      </w:pPr>
    </w:p>
    <w:p w:rsidR="00133049" w:rsidRPr="005B0FD8" w:rsidRDefault="00133049" w:rsidP="002566BB">
      <w:pPr>
        <w:spacing w:after="0" w:line="240" w:lineRule="auto"/>
        <w:jc w:val="both"/>
        <w:rPr>
          <w:rFonts w:ascii="Times New Roman" w:hAnsi="Times New Roman" w:cs="Times New Roman"/>
          <w:sz w:val="24"/>
          <w:szCs w:val="24"/>
          <w:lang w:val="ro-RO"/>
        </w:rPr>
      </w:pPr>
    </w:p>
    <w:p w:rsidR="00B5578F" w:rsidRDefault="00B5578F" w:rsidP="00E75984">
      <w:pPr>
        <w:spacing w:after="0" w:line="240" w:lineRule="auto"/>
        <w:ind w:firstLine="720"/>
        <w:jc w:val="both"/>
        <w:rPr>
          <w:rFonts w:ascii="Times New Roman" w:hAnsi="Times New Roman" w:cs="Times New Roman"/>
          <w:sz w:val="24"/>
          <w:szCs w:val="24"/>
          <w:lang w:val="ro-RO"/>
        </w:rPr>
      </w:pPr>
    </w:p>
    <w:p w:rsidR="00B5578F" w:rsidRDefault="00B5578F" w:rsidP="00B5578F">
      <w:pPr>
        <w:spacing w:after="0" w:line="240" w:lineRule="auto"/>
        <w:jc w:val="both"/>
        <w:rPr>
          <w:rFonts w:ascii="Times New Roman" w:hAnsi="Times New Roman" w:cs="Times New Roman"/>
          <w:i/>
          <w:iCs/>
          <w:sz w:val="24"/>
          <w:szCs w:val="24"/>
          <w:lang w:val="ro-RO"/>
        </w:rPr>
      </w:pPr>
      <w:r w:rsidRPr="00B5578F">
        <w:rPr>
          <w:rFonts w:ascii="Times New Roman" w:hAnsi="Times New Roman" w:cs="Times New Roman"/>
          <w:i/>
          <w:iCs/>
          <w:sz w:val="24"/>
          <w:szCs w:val="24"/>
          <w:lang w:val="ro-RO"/>
        </w:rPr>
        <w:t>Grafic 2. Depozit în euro solicitat în țările din UE</w:t>
      </w:r>
    </w:p>
    <w:p w:rsidR="00B5578F" w:rsidRPr="00B5578F" w:rsidRDefault="00B5578F" w:rsidP="00B5578F">
      <w:pPr>
        <w:spacing w:after="0" w:line="240" w:lineRule="auto"/>
        <w:jc w:val="both"/>
        <w:rPr>
          <w:rFonts w:ascii="Times New Roman" w:hAnsi="Times New Roman" w:cs="Times New Roman"/>
          <w:i/>
          <w:iCs/>
          <w:sz w:val="24"/>
          <w:szCs w:val="24"/>
          <w:lang w:val="ro-RO"/>
        </w:rPr>
      </w:pPr>
    </w:p>
    <w:p w:rsidR="00133049" w:rsidRPr="005B0FD8" w:rsidRDefault="00133049" w:rsidP="00E75984">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Graficul reprezentând condițiile privind depunerea unui depozit în bani este ceva mai uniform decât cel pentru semnături, unde România iese cu mult din media europeană. Doar se observă că, având excepție cinci vârfuri, reprezentate cum am zis de Cipru, Franța, Lituania, Olanda și Slo</w:t>
      </w:r>
      <w:r w:rsidR="00E75984">
        <w:rPr>
          <w:rFonts w:ascii="Times New Roman" w:hAnsi="Times New Roman" w:cs="Times New Roman"/>
          <w:sz w:val="24"/>
          <w:szCs w:val="24"/>
          <w:lang w:val="ro-RO"/>
        </w:rPr>
        <w:t>vacia, sumele de bani sunt asemă</w:t>
      </w:r>
      <w:r w:rsidRPr="005B0FD8">
        <w:rPr>
          <w:rFonts w:ascii="Times New Roman" w:hAnsi="Times New Roman" w:cs="Times New Roman"/>
          <w:sz w:val="24"/>
          <w:szCs w:val="24"/>
          <w:lang w:val="ro-RO"/>
        </w:rPr>
        <w:t xml:space="preserve">nătoare. </w:t>
      </w:r>
    </w:p>
    <w:p w:rsidR="001D0B13" w:rsidRDefault="00EC5ACA" w:rsidP="00BF6A0F">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 xml:space="preserve">Media europeană este de </w:t>
      </w:r>
      <w:r w:rsidR="00C664A1">
        <w:rPr>
          <w:rFonts w:ascii="Times New Roman" w:hAnsi="Times New Roman" w:cs="Times New Roman"/>
          <w:sz w:val="24"/>
          <w:szCs w:val="24"/>
          <w:lang w:val="ro-RO"/>
        </w:rPr>
        <w:t>11,1</w:t>
      </w:r>
      <w:r w:rsidR="00133049" w:rsidRPr="005B0FD8">
        <w:rPr>
          <w:rFonts w:ascii="Times New Roman" w:hAnsi="Times New Roman" w:cs="Times New Roman"/>
          <w:sz w:val="24"/>
          <w:szCs w:val="24"/>
          <w:lang w:val="ro-RO"/>
        </w:rPr>
        <w:t xml:space="preserve">36 </w:t>
      </w:r>
      <w:r w:rsidR="00D644BB" w:rsidRPr="005B0FD8">
        <w:rPr>
          <w:rFonts w:ascii="Times New Roman" w:hAnsi="Times New Roman" w:cs="Times New Roman"/>
          <w:sz w:val="24"/>
          <w:szCs w:val="24"/>
          <w:lang w:val="ro-RO"/>
        </w:rPr>
        <w:t>de semnături</w:t>
      </w:r>
      <w:r w:rsidRPr="005B0FD8">
        <w:rPr>
          <w:rFonts w:ascii="Times New Roman" w:hAnsi="Times New Roman" w:cs="Times New Roman"/>
          <w:sz w:val="24"/>
          <w:szCs w:val="24"/>
          <w:lang w:val="ro-RO"/>
        </w:rPr>
        <w:t xml:space="preserve">, dacă este inclusă </w:t>
      </w:r>
      <w:r w:rsidR="00D644BB" w:rsidRPr="005B0FD8">
        <w:rPr>
          <w:rFonts w:ascii="Times New Roman" w:hAnsi="Times New Roman" w:cs="Times New Roman"/>
          <w:sz w:val="24"/>
          <w:szCs w:val="24"/>
          <w:lang w:val="ro-RO"/>
        </w:rPr>
        <w:t>România</w:t>
      </w:r>
      <w:r w:rsidRPr="005B0FD8">
        <w:rPr>
          <w:rFonts w:ascii="Times New Roman" w:hAnsi="Times New Roman" w:cs="Times New Roman"/>
          <w:sz w:val="24"/>
          <w:szCs w:val="24"/>
          <w:lang w:val="ro-RO"/>
        </w:rPr>
        <w:t xml:space="preserve"> </w:t>
      </w:r>
      <w:r w:rsidR="00D644BB" w:rsidRPr="005B0FD8">
        <w:rPr>
          <w:rFonts w:ascii="Times New Roman" w:hAnsi="Times New Roman" w:cs="Times New Roman"/>
          <w:sz w:val="24"/>
          <w:szCs w:val="24"/>
          <w:lang w:val="ro-RO"/>
        </w:rPr>
        <w:t>și</w:t>
      </w:r>
      <w:r w:rsidRPr="005B0FD8">
        <w:rPr>
          <w:rFonts w:ascii="Times New Roman" w:hAnsi="Times New Roman" w:cs="Times New Roman"/>
          <w:sz w:val="24"/>
          <w:szCs w:val="24"/>
          <w:lang w:val="ro-RO"/>
        </w:rPr>
        <w:t xml:space="preserve"> de</w:t>
      </w:r>
      <w:r w:rsidR="00C664A1">
        <w:rPr>
          <w:rFonts w:ascii="Times New Roman" w:hAnsi="Times New Roman" w:cs="Times New Roman"/>
          <w:sz w:val="24"/>
          <w:szCs w:val="24"/>
          <w:lang w:val="ro-RO"/>
        </w:rPr>
        <w:t xml:space="preserve"> 3</w:t>
      </w:r>
      <w:r w:rsidR="00D644BB" w:rsidRPr="005B0FD8">
        <w:rPr>
          <w:rFonts w:ascii="Times New Roman" w:hAnsi="Times New Roman" w:cs="Times New Roman"/>
          <w:sz w:val="24"/>
          <w:szCs w:val="24"/>
          <w:lang w:val="ro-RO"/>
        </w:rPr>
        <w:t xml:space="preserve">,745 de semnături </w:t>
      </w:r>
      <w:r w:rsidRPr="005B0FD8">
        <w:rPr>
          <w:rFonts w:ascii="Times New Roman" w:hAnsi="Times New Roman" w:cs="Times New Roman"/>
          <w:sz w:val="24"/>
          <w:szCs w:val="24"/>
          <w:lang w:val="ro-RO"/>
        </w:rPr>
        <w:t>dacă România este exclusă, observându-se astfel că</w:t>
      </w:r>
      <w:r w:rsidR="00E75984">
        <w:rPr>
          <w:rFonts w:ascii="Times New Roman" w:hAnsi="Times New Roman" w:cs="Times New Roman"/>
          <w:sz w:val="24"/>
          <w:szCs w:val="24"/>
          <w:lang w:val="ro-RO"/>
        </w:rPr>
        <w:t>,</w:t>
      </w:r>
      <w:r w:rsidRPr="005B0FD8">
        <w:rPr>
          <w:rFonts w:ascii="Times New Roman" w:hAnsi="Times New Roman" w:cs="Times New Roman"/>
          <w:sz w:val="24"/>
          <w:szCs w:val="24"/>
          <w:lang w:val="ro-RO"/>
        </w:rPr>
        <w:t xml:space="preserve"> din cauza României</w:t>
      </w:r>
      <w:r w:rsidR="00C930AC">
        <w:rPr>
          <w:rFonts w:ascii="Times New Roman" w:hAnsi="Times New Roman" w:cs="Times New Roman"/>
          <w:sz w:val="24"/>
          <w:szCs w:val="24"/>
          <w:lang w:val="ro-RO"/>
        </w:rPr>
        <w:t>,</w:t>
      </w:r>
      <w:r w:rsidRPr="005B0FD8">
        <w:rPr>
          <w:rFonts w:ascii="Times New Roman" w:hAnsi="Times New Roman" w:cs="Times New Roman"/>
          <w:sz w:val="24"/>
          <w:szCs w:val="24"/>
          <w:lang w:val="ro-RO"/>
        </w:rPr>
        <w:t xml:space="preserve"> se </w:t>
      </w:r>
      <w:r w:rsidR="003140F2">
        <w:rPr>
          <w:rFonts w:ascii="Times New Roman" w:hAnsi="Times New Roman" w:cs="Times New Roman"/>
          <w:sz w:val="24"/>
          <w:szCs w:val="24"/>
          <w:lang w:val="ro-RO"/>
        </w:rPr>
        <w:t>triplează</w:t>
      </w:r>
      <w:r w:rsidRPr="005B0FD8">
        <w:rPr>
          <w:rFonts w:ascii="Times New Roman" w:hAnsi="Times New Roman" w:cs="Times New Roman"/>
          <w:sz w:val="24"/>
          <w:szCs w:val="24"/>
          <w:lang w:val="ro-RO"/>
        </w:rPr>
        <w:t xml:space="preserve"> media europeană privind numărul de semmnături de </w:t>
      </w:r>
      <w:r w:rsidR="009C0349">
        <w:rPr>
          <w:rFonts w:ascii="Times New Roman" w:hAnsi="Times New Roman" w:cs="Times New Roman"/>
          <w:sz w:val="24"/>
          <w:szCs w:val="24"/>
          <w:lang w:val="ro-RO"/>
        </w:rPr>
        <w:t>susținere a unui partid politic</w:t>
      </w:r>
      <w:r w:rsidRPr="005B0FD8">
        <w:rPr>
          <w:rFonts w:ascii="Times New Roman" w:hAnsi="Times New Roman" w:cs="Times New Roman"/>
          <w:sz w:val="24"/>
          <w:szCs w:val="24"/>
          <w:lang w:val="ro-RO"/>
        </w:rPr>
        <w:t xml:space="preserve"> pentru a candida. </w:t>
      </w:r>
      <w:r w:rsidR="00252769" w:rsidRPr="005B0FD8">
        <w:rPr>
          <w:rFonts w:ascii="Times New Roman" w:hAnsi="Times New Roman" w:cs="Times New Roman"/>
          <w:sz w:val="24"/>
          <w:szCs w:val="24"/>
          <w:lang w:val="ro-RO"/>
        </w:rPr>
        <w:t>Un simplu calcul arată că România are un prag de semnături mai mare de 9 ori față de media europeană. Se poate spune astfel, că obstacolele pre-electorale pentru partidele politice sunt de 9 ori m</w:t>
      </w:r>
      <w:r w:rsidR="00806E1C" w:rsidRPr="005B0FD8">
        <w:rPr>
          <w:rFonts w:ascii="Times New Roman" w:hAnsi="Times New Roman" w:cs="Times New Roman"/>
          <w:sz w:val="24"/>
          <w:szCs w:val="24"/>
          <w:lang w:val="ro-RO"/>
        </w:rPr>
        <w:t xml:space="preserve">ai mari </w:t>
      </w:r>
      <w:r w:rsidR="00700FEC" w:rsidRPr="005B0FD8">
        <w:rPr>
          <w:rFonts w:ascii="Times New Roman" w:hAnsi="Times New Roman" w:cs="Times New Roman"/>
          <w:sz w:val="24"/>
          <w:szCs w:val="24"/>
          <w:lang w:val="ro-RO"/>
        </w:rPr>
        <w:t xml:space="preserve">în România </w:t>
      </w:r>
      <w:r w:rsidR="00806E1C" w:rsidRPr="005B0FD8">
        <w:rPr>
          <w:rFonts w:ascii="Times New Roman" w:hAnsi="Times New Roman" w:cs="Times New Roman"/>
          <w:sz w:val="24"/>
          <w:szCs w:val="24"/>
          <w:lang w:val="ro-RO"/>
        </w:rPr>
        <w:t>decât media țărilor membre ale Uniunii Euro</w:t>
      </w:r>
      <w:r w:rsidR="001E7A64">
        <w:rPr>
          <w:rFonts w:ascii="Times New Roman" w:hAnsi="Times New Roman" w:cs="Times New Roman"/>
          <w:sz w:val="24"/>
          <w:szCs w:val="24"/>
          <w:lang w:val="ro-RO"/>
        </w:rPr>
        <w:t>pa</w:t>
      </w:r>
      <w:r w:rsidR="001D0B13">
        <w:rPr>
          <w:rFonts w:ascii="Times New Roman" w:hAnsi="Times New Roman" w:cs="Times New Roman"/>
          <w:sz w:val="24"/>
          <w:szCs w:val="24"/>
          <w:lang w:val="ro-RO"/>
        </w:rPr>
        <w:t xml:space="preserve">. </w:t>
      </w:r>
    </w:p>
    <w:p w:rsidR="00133049" w:rsidRPr="005B0FD8" w:rsidRDefault="00700FEC" w:rsidP="00BF6A0F">
      <w:pPr>
        <w:spacing w:after="0" w:line="240" w:lineRule="auto"/>
        <w:ind w:firstLine="720"/>
        <w:jc w:val="both"/>
        <w:rPr>
          <w:rFonts w:ascii="Times New Roman" w:hAnsi="Times New Roman" w:cs="Times New Roman"/>
          <w:sz w:val="24"/>
          <w:szCs w:val="24"/>
          <w:lang w:val="ro-RO" w:bidi="te-IN"/>
        </w:rPr>
      </w:pPr>
      <w:r w:rsidRPr="005B0FD8">
        <w:rPr>
          <w:rFonts w:ascii="Times New Roman" w:hAnsi="Times New Roman" w:cs="Times New Roman"/>
          <w:sz w:val="24"/>
          <w:szCs w:val="24"/>
          <w:lang w:val="ro-RO"/>
        </w:rPr>
        <w:t>Din modul în care sunt construite condițiile de acces în competiția electorală se observă faptul că logica în care au fost concepute aceste praguri constă în faptul că țările au preferat fie să pună o bariera de acces la buletinul de vot</w:t>
      </w:r>
      <w:r w:rsidR="004D5A49">
        <w:rPr>
          <w:rFonts w:ascii="Times New Roman" w:hAnsi="Times New Roman" w:cs="Times New Roman"/>
          <w:sz w:val="24"/>
          <w:szCs w:val="24"/>
          <w:lang w:val="ro-RO"/>
        </w:rPr>
        <w:t>,</w:t>
      </w:r>
      <w:r w:rsidRPr="005B0FD8">
        <w:rPr>
          <w:rFonts w:ascii="Times New Roman" w:hAnsi="Times New Roman" w:cs="Times New Roman"/>
          <w:sz w:val="24"/>
          <w:szCs w:val="24"/>
          <w:lang w:val="ro-RO"/>
        </w:rPr>
        <w:t xml:space="preserve"> constând într-un număr minim de semnături ale cetățenilor, fie </w:t>
      </w:r>
      <w:r w:rsidR="004D5A49">
        <w:rPr>
          <w:rFonts w:ascii="Times New Roman" w:hAnsi="Times New Roman" w:cs="Times New Roman"/>
          <w:sz w:val="24"/>
          <w:szCs w:val="24"/>
          <w:lang w:val="ro-RO"/>
        </w:rPr>
        <w:t xml:space="preserve">să impună </w:t>
      </w:r>
      <w:r w:rsidRPr="005B0FD8">
        <w:rPr>
          <w:rFonts w:ascii="Times New Roman" w:hAnsi="Times New Roman" w:cs="Times New Roman"/>
          <w:sz w:val="24"/>
          <w:szCs w:val="24"/>
          <w:lang w:val="ro-RO"/>
        </w:rPr>
        <w:t xml:space="preserve">un prag constând într-o sumă de bani mai mare, returnabilă de cele mai multe ori.  </w:t>
      </w:r>
    </w:p>
    <w:p w:rsidR="009D0D6D" w:rsidRDefault="00EE69BE" w:rsidP="00A25218">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Trei mari categorii</w:t>
      </w:r>
      <w:r w:rsidR="00662778" w:rsidRPr="005B0FD8">
        <w:rPr>
          <w:rFonts w:ascii="Times New Roman" w:hAnsi="Times New Roman" w:cs="Times New Roman"/>
          <w:sz w:val="24"/>
          <w:szCs w:val="24"/>
          <w:lang w:val="ro-RO"/>
        </w:rPr>
        <w:t xml:space="preserve"> de țări</w:t>
      </w:r>
      <w:r w:rsidRPr="005B0FD8">
        <w:rPr>
          <w:rFonts w:ascii="Times New Roman" w:hAnsi="Times New Roman" w:cs="Times New Roman"/>
          <w:sz w:val="24"/>
          <w:szCs w:val="24"/>
          <w:lang w:val="ro-RO"/>
        </w:rPr>
        <w:t xml:space="preserve"> se pot distinge din datele privitoare la condițiile de înregistrare a candidaților la alegerile europarlamentare, dacă se iau în calcul </w:t>
      </w:r>
      <w:r w:rsidR="00B1426C" w:rsidRPr="005B0FD8">
        <w:rPr>
          <w:rFonts w:ascii="Times New Roman" w:hAnsi="Times New Roman" w:cs="Times New Roman"/>
          <w:sz w:val="24"/>
          <w:szCs w:val="24"/>
          <w:lang w:val="ro-RO"/>
        </w:rPr>
        <w:t xml:space="preserve">două </w:t>
      </w:r>
      <w:r w:rsidR="004D5A49">
        <w:rPr>
          <w:rFonts w:ascii="Times New Roman" w:hAnsi="Times New Roman" w:cs="Times New Roman"/>
          <w:sz w:val="24"/>
          <w:szCs w:val="24"/>
          <w:lang w:val="ro-RO"/>
        </w:rPr>
        <w:t xml:space="preserve">din </w:t>
      </w:r>
      <w:r w:rsidR="001A5AF3">
        <w:rPr>
          <w:rFonts w:ascii="Times New Roman" w:hAnsi="Times New Roman" w:cs="Times New Roman"/>
          <w:sz w:val="24"/>
          <w:szCs w:val="24"/>
          <w:lang w:val="ro-RO"/>
        </w:rPr>
        <w:t xml:space="preserve">cele mai importante </w:t>
      </w:r>
      <w:r w:rsidR="00B1426C" w:rsidRPr="005B0FD8">
        <w:rPr>
          <w:rFonts w:ascii="Times New Roman" w:hAnsi="Times New Roman" w:cs="Times New Roman"/>
          <w:sz w:val="24"/>
          <w:szCs w:val="24"/>
          <w:lang w:val="ro-RO"/>
        </w:rPr>
        <w:t>criterii, numărul de semnături ș</w:t>
      </w:r>
      <w:r w:rsidR="00662778" w:rsidRPr="005B0FD8">
        <w:rPr>
          <w:rFonts w:ascii="Times New Roman" w:hAnsi="Times New Roman" w:cs="Times New Roman"/>
          <w:sz w:val="24"/>
          <w:szCs w:val="24"/>
          <w:lang w:val="ro-RO"/>
        </w:rPr>
        <w:t>i depozitul bănesc necesare</w:t>
      </w:r>
      <w:r w:rsidR="00B1426C" w:rsidRPr="005B0FD8">
        <w:rPr>
          <w:rFonts w:ascii="Times New Roman" w:hAnsi="Times New Roman" w:cs="Times New Roman"/>
          <w:sz w:val="24"/>
          <w:szCs w:val="24"/>
          <w:lang w:val="ro-RO"/>
        </w:rPr>
        <w:t xml:space="preserve"> pen</w:t>
      </w:r>
      <w:r w:rsidR="005E7B55" w:rsidRPr="005B0FD8">
        <w:rPr>
          <w:rFonts w:ascii="Times New Roman" w:hAnsi="Times New Roman" w:cs="Times New Roman"/>
          <w:sz w:val="24"/>
          <w:szCs w:val="24"/>
          <w:lang w:val="ro-RO"/>
        </w:rPr>
        <w:t xml:space="preserve">tru depunerea candidaturii. </w:t>
      </w:r>
      <w:r w:rsidR="00662778" w:rsidRPr="005B0FD8">
        <w:rPr>
          <w:rFonts w:ascii="Times New Roman" w:hAnsi="Times New Roman" w:cs="Times New Roman"/>
          <w:sz w:val="24"/>
          <w:szCs w:val="24"/>
          <w:lang w:val="ro-RO"/>
        </w:rPr>
        <w:t>Categoriile de țări și, implicit, de legi electorale, sunt următoarele: (1) țări în care se so</w:t>
      </w:r>
      <w:r w:rsidR="00133256" w:rsidRPr="005B0FD8">
        <w:rPr>
          <w:rFonts w:ascii="Times New Roman" w:hAnsi="Times New Roman" w:cs="Times New Roman"/>
          <w:sz w:val="24"/>
          <w:szCs w:val="24"/>
          <w:lang w:val="ro-RO"/>
        </w:rPr>
        <w:t>licită atât semnături, cât și</w:t>
      </w:r>
      <w:r w:rsidR="00662778" w:rsidRPr="005B0FD8">
        <w:rPr>
          <w:rFonts w:ascii="Times New Roman" w:hAnsi="Times New Roman" w:cs="Times New Roman"/>
          <w:sz w:val="24"/>
          <w:szCs w:val="24"/>
          <w:lang w:val="ro-RO"/>
        </w:rPr>
        <w:t xml:space="preserve"> depozit bănesc; (2)</w:t>
      </w:r>
      <w:r w:rsidR="00133256" w:rsidRPr="005B0FD8">
        <w:rPr>
          <w:rFonts w:ascii="Times New Roman" w:hAnsi="Times New Roman" w:cs="Times New Roman"/>
          <w:sz w:val="24"/>
          <w:szCs w:val="24"/>
          <w:lang w:val="ro-RO"/>
        </w:rPr>
        <w:t xml:space="preserve"> țări în care se cer doar semnături</w:t>
      </w:r>
      <w:r w:rsidR="00A25218">
        <w:rPr>
          <w:rFonts w:ascii="Times New Roman" w:hAnsi="Times New Roman" w:cs="Times New Roman"/>
          <w:sz w:val="24"/>
          <w:szCs w:val="24"/>
          <w:lang w:val="ro-RO"/>
        </w:rPr>
        <w:t xml:space="preserve"> și nu se solicită depunere</w:t>
      </w:r>
      <w:r w:rsidR="00133256" w:rsidRPr="005B0FD8">
        <w:rPr>
          <w:rFonts w:ascii="Times New Roman" w:hAnsi="Times New Roman" w:cs="Times New Roman"/>
          <w:sz w:val="24"/>
          <w:szCs w:val="24"/>
          <w:lang w:val="ro-RO"/>
        </w:rPr>
        <w:t>a unui depozit în bani; (3) ță</w:t>
      </w:r>
      <w:r w:rsidR="00B368C2">
        <w:rPr>
          <w:rFonts w:ascii="Times New Roman" w:hAnsi="Times New Roman" w:cs="Times New Roman"/>
          <w:sz w:val="24"/>
          <w:szCs w:val="24"/>
          <w:lang w:val="ro-RO"/>
        </w:rPr>
        <w:t xml:space="preserve">ri în care nu sunt necesare semnături, însă se cere </w:t>
      </w:r>
      <w:r w:rsidR="004D5A49">
        <w:rPr>
          <w:rFonts w:ascii="Times New Roman" w:hAnsi="Times New Roman" w:cs="Times New Roman"/>
          <w:sz w:val="24"/>
          <w:szCs w:val="24"/>
          <w:lang w:val="ro-RO"/>
        </w:rPr>
        <w:t xml:space="preserve">achitarea unui </w:t>
      </w:r>
      <w:r w:rsidR="00B368C2">
        <w:rPr>
          <w:rFonts w:ascii="Times New Roman" w:hAnsi="Times New Roman" w:cs="Times New Roman"/>
          <w:sz w:val="24"/>
          <w:szCs w:val="24"/>
          <w:lang w:val="ro-RO"/>
        </w:rPr>
        <w:t>depozit în bani.</w:t>
      </w:r>
    </w:p>
    <w:p w:rsidR="006D02E1" w:rsidRDefault="006D02E1" w:rsidP="00A25218">
      <w:pPr>
        <w:spacing w:after="0" w:line="240" w:lineRule="auto"/>
        <w:ind w:firstLine="720"/>
        <w:jc w:val="both"/>
        <w:rPr>
          <w:rFonts w:ascii="Times New Roman" w:hAnsi="Times New Roman" w:cs="Times New Roman"/>
          <w:sz w:val="24"/>
          <w:szCs w:val="24"/>
          <w:lang w:val="ro-RO"/>
        </w:rPr>
      </w:pPr>
    </w:p>
    <w:p w:rsidR="006D02E1" w:rsidRDefault="006D02E1" w:rsidP="00A25218">
      <w:pPr>
        <w:spacing w:after="0" w:line="240" w:lineRule="auto"/>
        <w:ind w:firstLine="720"/>
        <w:jc w:val="both"/>
        <w:rPr>
          <w:rFonts w:ascii="Times New Roman" w:hAnsi="Times New Roman" w:cs="Times New Roman"/>
          <w:sz w:val="24"/>
          <w:szCs w:val="24"/>
          <w:lang w:val="ro-RO"/>
        </w:rPr>
      </w:pPr>
    </w:p>
    <w:p w:rsidR="006D02E1" w:rsidRDefault="006D02E1" w:rsidP="00A25218">
      <w:pPr>
        <w:spacing w:after="0" w:line="240" w:lineRule="auto"/>
        <w:ind w:firstLine="720"/>
        <w:jc w:val="both"/>
        <w:rPr>
          <w:rFonts w:ascii="Times New Roman" w:hAnsi="Times New Roman" w:cs="Times New Roman"/>
          <w:sz w:val="24"/>
          <w:szCs w:val="24"/>
          <w:lang w:val="ro-RO"/>
        </w:rPr>
      </w:pPr>
    </w:p>
    <w:p w:rsidR="006D02E1" w:rsidRDefault="006D02E1" w:rsidP="00A25218">
      <w:pPr>
        <w:spacing w:after="0" w:line="240" w:lineRule="auto"/>
        <w:ind w:firstLine="720"/>
        <w:jc w:val="both"/>
        <w:rPr>
          <w:rFonts w:ascii="Times New Roman" w:hAnsi="Times New Roman" w:cs="Times New Roman"/>
          <w:sz w:val="24"/>
          <w:szCs w:val="24"/>
          <w:lang w:val="ro-RO"/>
        </w:rPr>
      </w:pPr>
    </w:p>
    <w:p w:rsidR="006D02E1" w:rsidRDefault="006D02E1" w:rsidP="00A25218">
      <w:pPr>
        <w:spacing w:after="0" w:line="240" w:lineRule="auto"/>
        <w:ind w:firstLine="720"/>
        <w:jc w:val="both"/>
        <w:rPr>
          <w:rFonts w:ascii="Times New Roman" w:hAnsi="Times New Roman" w:cs="Times New Roman"/>
          <w:sz w:val="24"/>
          <w:szCs w:val="24"/>
          <w:lang w:val="ro-RO"/>
        </w:rPr>
      </w:pPr>
    </w:p>
    <w:p w:rsidR="006D02E1" w:rsidRDefault="006D02E1" w:rsidP="00A25218">
      <w:pPr>
        <w:spacing w:after="0" w:line="240" w:lineRule="auto"/>
        <w:ind w:firstLine="720"/>
        <w:jc w:val="both"/>
        <w:rPr>
          <w:rFonts w:ascii="Times New Roman" w:hAnsi="Times New Roman" w:cs="Times New Roman"/>
          <w:sz w:val="24"/>
          <w:szCs w:val="24"/>
          <w:lang w:val="ro-RO"/>
        </w:rPr>
      </w:pPr>
    </w:p>
    <w:p w:rsidR="006D02E1" w:rsidRPr="00A25218" w:rsidRDefault="006D02E1" w:rsidP="00A25218">
      <w:pPr>
        <w:spacing w:after="0" w:line="240" w:lineRule="auto"/>
        <w:ind w:firstLine="720"/>
        <w:jc w:val="both"/>
        <w:rPr>
          <w:rFonts w:ascii="Times New Roman" w:hAnsi="Times New Roman" w:cs="Times New Roman"/>
          <w:sz w:val="24"/>
          <w:szCs w:val="24"/>
          <w:lang w:val="ro-RO"/>
        </w:rPr>
      </w:pPr>
    </w:p>
    <w:p w:rsidR="009D0D6D" w:rsidRPr="00A25218" w:rsidRDefault="009D0D6D" w:rsidP="0008487F">
      <w:pPr>
        <w:spacing w:after="0" w:line="240" w:lineRule="auto"/>
        <w:ind w:firstLine="720"/>
        <w:jc w:val="both"/>
        <w:rPr>
          <w:rFonts w:ascii="Times New Roman" w:hAnsi="Times New Roman" w:cs="Times New Roman"/>
          <w:sz w:val="18"/>
          <w:szCs w:val="18"/>
          <w:lang w:val="ro-RO"/>
        </w:rPr>
      </w:pPr>
    </w:p>
    <w:p w:rsidR="009D0D6D" w:rsidRPr="00A25218" w:rsidRDefault="009D0D6D" w:rsidP="0008487F">
      <w:pPr>
        <w:spacing w:after="0" w:line="240" w:lineRule="auto"/>
        <w:ind w:firstLine="720"/>
        <w:jc w:val="both"/>
        <w:rPr>
          <w:rFonts w:ascii="Times New Roman" w:hAnsi="Times New Roman" w:cs="Times New Roman"/>
          <w:sz w:val="18"/>
          <w:szCs w:val="18"/>
          <w:lang w:val="ro-RO"/>
        </w:rPr>
      </w:pPr>
    </w:p>
    <w:tbl>
      <w:tblPr>
        <w:tblStyle w:val="TableGrid"/>
        <w:tblW w:w="0" w:type="auto"/>
        <w:tblLook w:val="04A0" w:firstRow="1" w:lastRow="0" w:firstColumn="1" w:lastColumn="0" w:noHBand="0" w:noVBand="1"/>
      </w:tblPr>
      <w:tblGrid>
        <w:gridCol w:w="2254"/>
        <w:gridCol w:w="2254"/>
        <w:gridCol w:w="2254"/>
      </w:tblGrid>
      <w:tr w:rsidR="009D0D6D" w:rsidRPr="00A25218" w:rsidTr="00CF2C1B">
        <w:tc>
          <w:tcPr>
            <w:tcW w:w="2254" w:type="dxa"/>
          </w:tcPr>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Categorii de condiții înregistrarea candidați</w:t>
            </w:r>
            <w:r w:rsidR="007B07B5">
              <w:rPr>
                <w:rFonts w:ascii="Times New Roman" w:hAnsi="Times New Roman" w:cs="Times New Roman"/>
                <w:b/>
                <w:bCs/>
                <w:sz w:val="18"/>
                <w:szCs w:val="18"/>
                <w:lang w:val="ro-RO"/>
              </w:rPr>
              <w:t>lor</w:t>
            </w:r>
          </w:p>
        </w:tc>
        <w:tc>
          <w:tcPr>
            <w:tcW w:w="2254" w:type="dxa"/>
          </w:tcPr>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 xml:space="preserve">Țări </w:t>
            </w:r>
          </w:p>
        </w:tc>
        <w:tc>
          <w:tcPr>
            <w:tcW w:w="2254" w:type="dxa"/>
          </w:tcPr>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Număr de țări</w:t>
            </w:r>
          </w:p>
        </w:tc>
      </w:tr>
      <w:tr w:rsidR="009D0D6D" w:rsidRPr="00A25218" w:rsidTr="00CF2C1B">
        <w:tc>
          <w:tcPr>
            <w:tcW w:w="2254" w:type="dxa"/>
          </w:tcPr>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DA</w:t>
            </w:r>
            <w:r w:rsidR="00A25218">
              <w:rPr>
                <w:rFonts w:ascii="Times New Roman" w:hAnsi="Times New Roman" w:cs="Times New Roman"/>
                <w:b/>
                <w:bCs/>
                <w:sz w:val="18"/>
                <w:szCs w:val="18"/>
                <w:lang w:val="ro-RO"/>
              </w:rPr>
              <w:t xml:space="preserve"> semnăt</w:t>
            </w:r>
            <w:r w:rsidRPr="00A25218">
              <w:rPr>
                <w:rFonts w:ascii="Times New Roman" w:hAnsi="Times New Roman" w:cs="Times New Roman"/>
                <w:b/>
                <w:bCs/>
                <w:sz w:val="18"/>
                <w:szCs w:val="18"/>
                <w:lang w:val="ro-RO"/>
              </w:rPr>
              <w:t>uri</w:t>
            </w:r>
          </w:p>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DA depozit</w:t>
            </w:r>
          </w:p>
        </w:tc>
        <w:tc>
          <w:tcPr>
            <w:tcW w:w="2254" w:type="dxa"/>
          </w:tcPr>
          <w:p w:rsidR="009D0D6D" w:rsidRPr="00A25218" w:rsidRDefault="009D0D6D" w:rsidP="00CF2C1B">
            <w:pPr>
              <w:jc w:val="both"/>
              <w:rPr>
                <w:rFonts w:ascii="Times New Roman" w:hAnsi="Times New Roman" w:cs="Times New Roman"/>
                <w:sz w:val="18"/>
                <w:szCs w:val="18"/>
                <w:lang w:val="ro-RO"/>
              </w:rPr>
            </w:pPr>
            <w:r w:rsidRPr="00A25218">
              <w:rPr>
                <w:rFonts w:ascii="Times New Roman" w:hAnsi="Times New Roman" w:cs="Times New Roman"/>
                <w:sz w:val="18"/>
                <w:szCs w:val="18"/>
                <w:lang w:val="ro-RO"/>
              </w:rPr>
              <w:t xml:space="preserve">Austria, Bulgaria, </w:t>
            </w:r>
            <w:r w:rsidR="00DA251C">
              <w:rPr>
                <w:rFonts w:ascii="Times New Roman" w:hAnsi="Times New Roman" w:cs="Times New Roman"/>
                <w:sz w:val="18"/>
                <w:szCs w:val="18"/>
                <w:lang w:val="ro-RO"/>
              </w:rPr>
              <w:t xml:space="preserve">Estonia, </w:t>
            </w:r>
            <w:r w:rsidRPr="00A25218">
              <w:rPr>
                <w:rFonts w:ascii="Times New Roman" w:hAnsi="Times New Roman" w:cs="Times New Roman"/>
                <w:sz w:val="18"/>
                <w:szCs w:val="18"/>
                <w:lang w:val="ro-RO"/>
              </w:rPr>
              <w:t xml:space="preserve">Letonia, Lituania, Malta, </w:t>
            </w:r>
            <w:r w:rsidR="00AE3278">
              <w:rPr>
                <w:rFonts w:ascii="Times New Roman" w:hAnsi="Times New Roman" w:cs="Times New Roman"/>
                <w:sz w:val="18"/>
                <w:szCs w:val="18"/>
                <w:lang w:val="ro-RO"/>
              </w:rPr>
              <w:t>Olanda.</w:t>
            </w:r>
          </w:p>
        </w:tc>
        <w:tc>
          <w:tcPr>
            <w:tcW w:w="2254" w:type="dxa"/>
          </w:tcPr>
          <w:p w:rsidR="009D0D6D" w:rsidRPr="00A25218" w:rsidRDefault="009D0D6D" w:rsidP="00CF2C1B">
            <w:pPr>
              <w:jc w:val="both"/>
              <w:rPr>
                <w:rFonts w:ascii="Times New Roman" w:hAnsi="Times New Roman" w:cs="Times New Roman"/>
                <w:sz w:val="18"/>
                <w:szCs w:val="18"/>
                <w:lang w:val="ro-RO"/>
              </w:rPr>
            </w:pPr>
            <w:r w:rsidRPr="00A25218">
              <w:rPr>
                <w:rFonts w:ascii="Times New Roman" w:hAnsi="Times New Roman" w:cs="Times New Roman"/>
                <w:sz w:val="18"/>
                <w:szCs w:val="18"/>
                <w:lang w:val="ro-RO"/>
              </w:rPr>
              <w:t>6</w:t>
            </w:r>
          </w:p>
        </w:tc>
      </w:tr>
      <w:tr w:rsidR="009D0D6D" w:rsidRPr="00A25218" w:rsidTr="00CF2C1B">
        <w:tc>
          <w:tcPr>
            <w:tcW w:w="2254" w:type="dxa"/>
          </w:tcPr>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DA semnături</w:t>
            </w:r>
          </w:p>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NU depozit</w:t>
            </w:r>
          </w:p>
        </w:tc>
        <w:tc>
          <w:tcPr>
            <w:tcW w:w="2254" w:type="dxa"/>
          </w:tcPr>
          <w:p w:rsidR="009D0D6D" w:rsidRPr="00A25218" w:rsidRDefault="009D0D6D" w:rsidP="00E7495A">
            <w:pPr>
              <w:jc w:val="both"/>
              <w:rPr>
                <w:rFonts w:ascii="Times New Roman" w:hAnsi="Times New Roman" w:cs="Times New Roman"/>
                <w:sz w:val="18"/>
                <w:szCs w:val="18"/>
                <w:lang w:val="ro-RO"/>
              </w:rPr>
            </w:pPr>
            <w:r w:rsidRPr="00A25218">
              <w:rPr>
                <w:rFonts w:ascii="Times New Roman" w:hAnsi="Times New Roman" w:cs="Times New Roman"/>
                <w:sz w:val="18"/>
                <w:szCs w:val="18"/>
                <w:lang w:val="ro-RO"/>
              </w:rPr>
              <w:t>Belgia, Croația, Danemarca, Finlanda, Germania, Irlanda, Italia, Luxemburg, Polonia, Portugalia, România, Slovenia, Spania</w:t>
            </w:r>
            <w:r w:rsidR="00AE3278">
              <w:rPr>
                <w:rFonts w:ascii="Times New Roman" w:hAnsi="Times New Roman" w:cs="Times New Roman"/>
                <w:sz w:val="18"/>
                <w:szCs w:val="18"/>
                <w:lang w:val="ro-RO"/>
              </w:rPr>
              <w:t>, Suedia, Ungaria.</w:t>
            </w:r>
          </w:p>
        </w:tc>
        <w:tc>
          <w:tcPr>
            <w:tcW w:w="2254" w:type="dxa"/>
          </w:tcPr>
          <w:p w:rsidR="009D0D6D" w:rsidRPr="00A25218" w:rsidRDefault="009D0D6D" w:rsidP="00CF2C1B">
            <w:pPr>
              <w:jc w:val="both"/>
              <w:rPr>
                <w:rFonts w:ascii="Times New Roman" w:hAnsi="Times New Roman" w:cs="Times New Roman"/>
                <w:sz w:val="18"/>
                <w:szCs w:val="18"/>
                <w:lang w:val="ro-RO"/>
              </w:rPr>
            </w:pPr>
            <w:r w:rsidRPr="00A25218">
              <w:rPr>
                <w:rFonts w:ascii="Times New Roman" w:hAnsi="Times New Roman" w:cs="Times New Roman"/>
                <w:sz w:val="18"/>
                <w:szCs w:val="18"/>
                <w:lang w:val="ro-RO"/>
              </w:rPr>
              <w:t>15</w:t>
            </w:r>
          </w:p>
        </w:tc>
      </w:tr>
      <w:tr w:rsidR="009D0D6D" w:rsidRPr="00A25218" w:rsidTr="00CF2C1B">
        <w:tc>
          <w:tcPr>
            <w:tcW w:w="2254" w:type="dxa"/>
          </w:tcPr>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NU semnături</w:t>
            </w:r>
          </w:p>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DA depozit</w:t>
            </w:r>
          </w:p>
        </w:tc>
        <w:tc>
          <w:tcPr>
            <w:tcW w:w="2254" w:type="dxa"/>
          </w:tcPr>
          <w:p w:rsidR="009D0D6D" w:rsidRPr="00A25218" w:rsidRDefault="009D0D6D" w:rsidP="00DA251C">
            <w:pPr>
              <w:jc w:val="both"/>
              <w:rPr>
                <w:rFonts w:ascii="Times New Roman" w:hAnsi="Times New Roman" w:cs="Times New Roman"/>
                <w:sz w:val="18"/>
                <w:szCs w:val="18"/>
                <w:lang w:val="ro-RO"/>
              </w:rPr>
            </w:pPr>
            <w:r w:rsidRPr="00A25218">
              <w:rPr>
                <w:rFonts w:ascii="Times New Roman" w:hAnsi="Times New Roman" w:cs="Times New Roman"/>
                <w:sz w:val="18"/>
                <w:szCs w:val="18"/>
                <w:lang w:val="ro-RO"/>
              </w:rPr>
              <w:t xml:space="preserve">Cehia, Cipru, Franța, Grecia, Slovacia, </w:t>
            </w:r>
          </w:p>
        </w:tc>
        <w:tc>
          <w:tcPr>
            <w:tcW w:w="2254" w:type="dxa"/>
          </w:tcPr>
          <w:p w:rsidR="009D0D6D" w:rsidRPr="00A25218" w:rsidRDefault="009D0D6D" w:rsidP="00CF2C1B">
            <w:pPr>
              <w:jc w:val="both"/>
              <w:rPr>
                <w:rFonts w:ascii="Times New Roman" w:hAnsi="Times New Roman" w:cs="Times New Roman"/>
                <w:sz w:val="18"/>
                <w:szCs w:val="18"/>
                <w:lang w:val="ro-RO"/>
              </w:rPr>
            </w:pPr>
            <w:r w:rsidRPr="00A25218">
              <w:rPr>
                <w:rFonts w:ascii="Times New Roman" w:hAnsi="Times New Roman" w:cs="Times New Roman"/>
                <w:sz w:val="18"/>
                <w:szCs w:val="18"/>
                <w:lang w:val="ro-RO"/>
              </w:rPr>
              <w:t>6</w:t>
            </w:r>
          </w:p>
        </w:tc>
      </w:tr>
      <w:tr w:rsidR="007B07B5" w:rsidRPr="00A25218" w:rsidTr="00CF2C1B">
        <w:tc>
          <w:tcPr>
            <w:tcW w:w="2254" w:type="dxa"/>
          </w:tcPr>
          <w:p w:rsidR="007B07B5" w:rsidRDefault="007B07B5" w:rsidP="00CF2C1B">
            <w:pPr>
              <w:jc w:val="both"/>
              <w:rPr>
                <w:rFonts w:ascii="Times New Roman" w:hAnsi="Times New Roman" w:cs="Times New Roman"/>
                <w:b/>
                <w:bCs/>
                <w:sz w:val="18"/>
                <w:szCs w:val="18"/>
                <w:lang w:val="ro-RO"/>
              </w:rPr>
            </w:pPr>
            <w:r>
              <w:rPr>
                <w:rFonts w:ascii="Times New Roman" w:hAnsi="Times New Roman" w:cs="Times New Roman"/>
                <w:b/>
                <w:bCs/>
                <w:sz w:val="18"/>
                <w:szCs w:val="18"/>
                <w:lang w:val="ro-RO"/>
              </w:rPr>
              <w:t xml:space="preserve">NU semnături </w:t>
            </w:r>
          </w:p>
          <w:p w:rsidR="00825189" w:rsidRDefault="007B07B5" w:rsidP="00CF2C1B">
            <w:pPr>
              <w:jc w:val="both"/>
              <w:rPr>
                <w:rFonts w:ascii="Times New Roman" w:hAnsi="Times New Roman" w:cs="Times New Roman"/>
                <w:b/>
                <w:bCs/>
                <w:sz w:val="18"/>
                <w:szCs w:val="18"/>
                <w:lang w:val="ro-RO"/>
              </w:rPr>
            </w:pPr>
            <w:r>
              <w:rPr>
                <w:rFonts w:ascii="Times New Roman" w:hAnsi="Times New Roman" w:cs="Times New Roman"/>
                <w:b/>
                <w:bCs/>
                <w:sz w:val="18"/>
                <w:szCs w:val="18"/>
                <w:lang w:val="ro-RO"/>
              </w:rPr>
              <w:t>NU depozit</w:t>
            </w:r>
            <w:r w:rsidR="00825189">
              <w:rPr>
                <w:rFonts w:ascii="Times New Roman" w:hAnsi="Times New Roman" w:cs="Times New Roman"/>
                <w:b/>
                <w:bCs/>
                <w:sz w:val="18"/>
                <w:szCs w:val="18"/>
                <w:lang w:val="ro-RO"/>
              </w:rPr>
              <w:t xml:space="preserve"> </w:t>
            </w:r>
          </w:p>
          <w:p w:rsidR="007B07B5" w:rsidRPr="00825189" w:rsidRDefault="00825189" w:rsidP="00CF2C1B">
            <w:pPr>
              <w:jc w:val="both"/>
              <w:rPr>
                <w:rFonts w:ascii="Times New Roman" w:hAnsi="Times New Roman" w:cs="Times New Roman"/>
                <w:b/>
                <w:bCs/>
                <w:sz w:val="16"/>
                <w:szCs w:val="16"/>
                <w:lang w:val="ro-RO"/>
              </w:rPr>
            </w:pPr>
            <w:r w:rsidRPr="00825189">
              <w:rPr>
                <w:rFonts w:ascii="Times New Roman" w:hAnsi="Times New Roman" w:cs="Times New Roman"/>
                <w:i/>
                <w:iCs/>
                <w:sz w:val="16"/>
                <w:szCs w:val="16"/>
                <w:lang w:val="ro-RO"/>
              </w:rPr>
              <w:t>(cu o mențiune importantă)</w:t>
            </w:r>
            <w:r w:rsidRPr="00825189">
              <w:rPr>
                <w:rStyle w:val="FootnoteReference"/>
                <w:rFonts w:ascii="Times New Roman" w:hAnsi="Times New Roman" w:cs="Times New Roman"/>
                <w:i/>
                <w:iCs/>
                <w:sz w:val="16"/>
                <w:szCs w:val="16"/>
                <w:lang w:val="ro-RO"/>
              </w:rPr>
              <w:t xml:space="preserve"> </w:t>
            </w:r>
            <w:r w:rsidRPr="00825189">
              <w:rPr>
                <w:rStyle w:val="FootnoteReference"/>
                <w:rFonts w:ascii="Times New Roman" w:hAnsi="Times New Roman" w:cs="Times New Roman"/>
                <w:i/>
                <w:iCs/>
                <w:sz w:val="16"/>
                <w:szCs w:val="16"/>
                <w:lang w:val="ro-RO"/>
              </w:rPr>
              <w:footnoteReference w:id="28"/>
            </w:r>
          </w:p>
        </w:tc>
        <w:tc>
          <w:tcPr>
            <w:tcW w:w="2254" w:type="dxa"/>
          </w:tcPr>
          <w:p w:rsidR="007B07B5" w:rsidRPr="00A25218" w:rsidRDefault="007B07B5" w:rsidP="007C1B83">
            <w:pPr>
              <w:jc w:val="both"/>
              <w:rPr>
                <w:rFonts w:ascii="Times New Roman" w:hAnsi="Times New Roman" w:cs="Times New Roman"/>
                <w:sz w:val="18"/>
                <w:szCs w:val="18"/>
                <w:lang w:val="ro-RO"/>
              </w:rPr>
            </w:pPr>
            <w:r>
              <w:rPr>
                <w:rFonts w:ascii="Times New Roman" w:hAnsi="Times New Roman" w:cs="Times New Roman"/>
                <w:sz w:val="18"/>
                <w:szCs w:val="18"/>
                <w:lang w:val="ro-RO"/>
              </w:rPr>
              <w:t>Suedia</w:t>
            </w:r>
            <w:r w:rsidR="007C1B83">
              <w:rPr>
                <w:rFonts w:ascii="Times New Roman" w:hAnsi="Times New Roman" w:cs="Times New Roman"/>
                <w:sz w:val="18"/>
                <w:szCs w:val="18"/>
                <w:lang w:val="ro-RO"/>
              </w:rPr>
              <w:t xml:space="preserve"> </w:t>
            </w:r>
            <w:r w:rsidR="00785ACC">
              <w:rPr>
                <w:rFonts w:ascii="Times New Roman" w:hAnsi="Times New Roman" w:cs="Times New Roman"/>
                <w:sz w:val="18"/>
                <w:szCs w:val="18"/>
                <w:lang w:val="ro-RO"/>
              </w:rPr>
              <w:t>(</w:t>
            </w:r>
            <w:r w:rsidR="00785ACC" w:rsidRPr="00785ACC">
              <w:rPr>
                <w:rFonts w:ascii="Times New Roman" w:hAnsi="Times New Roman" w:cs="Times New Roman"/>
                <w:i/>
                <w:iCs/>
                <w:sz w:val="16"/>
                <w:szCs w:val="16"/>
                <w:lang w:val="ro-RO"/>
              </w:rPr>
              <w:t>doar pentru partide neînregistrate</w:t>
            </w:r>
            <w:r w:rsidR="00785ACC">
              <w:rPr>
                <w:rFonts w:ascii="Times New Roman" w:hAnsi="Times New Roman" w:cs="Times New Roman"/>
                <w:sz w:val="18"/>
                <w:szCs w:val="18"/>
                <w:lang w:val="ro-RO"/>
              </w:rPr>
              <w:t xml:space="preserve"> și </w:t>
            </w:r>
            <w:r w:rsidR="007C1B83" w:rsidRPr="00437392">
              <w:rPr>
                <w:rFonts w:ascii="Times New Roman" w:hAnsi="Times New Roman" w:cs="Times New Roman"/>
                <w:i/>
                <w:iCs/>
                <w:sz w:val="16"/>
                <w:szCs w:val="16"/>
                <w:lang w:val="ro-RO"/>
              </w:rPr>
              <w:t>de observat</w:t>
            </w:r>
            <w:r w:rsidR="0098149B" w:rsidRPr="00437392">
              <w:rPr>
                <w:rFonts w:ascii="Times New Roman" w:hAnsi="Times New Roman" w:cs="Times New Roman"/>
                <w:i/>
                <w:iCs/>
                <w:sz w:val="16"/>
                <w:szCs w:val="16"/>
                <w:lang w:val="ro-RO"/>
              </w:rPr>
              <w:t>, faptul</w:t>
            </w:r>
            <w:r w:rsidR="007C1B83" w:rsidRPr="00437392">
              <w:rPr>
                <w:rFonts w:ascii="Times New Roman" w:hAnsi="Times New Roman" w:cs="Times New Roman"/>
                <w:i/>
                <w:iCs/>
                <w:sz w:val="16"/>
                <w:szCs w:val="16"/>
                <w:lang w:val="ro-RO"/>
              </w:rPr>
              <w:t xml:space="preserve"> că</w:t>
            </w:r>
            <w:r w:rsidR="0098149B" w:rsidRPr="00437392">
              <w:rPr>
                <w:rFonts w:ascii="Times New Roman" w:hAnsi="Times New Roman" w:cs="Times New Roman"/>
                <w:i/>
                <w:iCs/>
                <w:sz w:val="16"/>
                <w:szCs w:val="16"/>
                <w:lang w:val="ro-RO"/>
              </w:rPr>
              <w:t xml:space="preserve"> </w:t>
            </w:r>
            <w:r w:rsidR="007C1B83" w:rsidRPr="00437392">
              <w:rPr>
                <w:rFonts w:ascii="Times New Roman" w:hAnsi="Times New Roman" w:cs="Times New Roman"/>
                <w:i/>
                <w:iCs/>
                <w:sz w:val="16"/>
                <w:szCs w:val="16"/>
                <w:lang w:val="ro-RO"/>
              </w:rPr>
              <w:t>Suedia se află și în categoria DA semnături, NU depozit)</w:t>
            </w:r>
          </w:p>
        </w:tc>
        <w:tc>
          <w:tcPr>
            <w:tcW w:w="2254" w:type="dxa"/>
          </w:tcPr>
          <w:p w:rsidR="007B07B5" w:rsidRPr="00A25218" w:rsidRDefault="007B07B5" w:rsidP="00CF2C1B">
            <w:pPr>
              <w:jc w:val="both"/>
              <w:rPr>
                <w:rFonts w:ascii="Times New Roman" w:hAnsi="Times New Roman" w:cs="Times New Roman"/>
                <w:sz w:val="18"/>
                <w:szCs w:val="18"/>
                <w:lang w:val="ro-RO"/>
              </w:rPr>
            </w:pPr>
          </w:p>
        </w:tc>
      </w:tr>
      <w:tr w:rsidR="009D0D6D" w:rsidRPr="00A25218" w:rsidTr="00CF2C1B">
        <w:tc>
          <w:tcPr>
            <w:tcW w:w="2254" w:type="dxa"/>
          </w:tcPr>
          <w:p w:rsidR="009D0D6D" w:rsidRPr="00A25218" w:rsidRDefault="009D0D6D" w:rsidP="00CF2C1B">
            <w:pPr>
              <w:jc w:val="both"/>
              <w:rPr>
                <w:rFonts w:ascii="Times New Roman" w:hAnsi="Times New Roman" w:cs="Times New Roman"/>
                <w:b/>
                <w:bCs/>
                <w:sz w:val="18"/>
                <w:szCs w:val="18"/>
                <w:lang w:val="ro-RO"/>
              </w:rPr>
            </w:pPr>
            <w:r w:rsidRPr="00A25218">
              <w:rPr>
                <w:rFonts w:ascii="Times New Roman" w:hAnsi="Times New Roman" w:cs="Times New Roman"/>
                <w:b/>
                <w:bCs/>
                <w:sz w:val="18"/>
                <w:szCs w:val="18"/>
                <w:lang w:val="ro-RO"/>
              </w:rPr>
              <w:t>Total</w:t>
            </w:r>
          </w:p>
        </w:tc>
        <w:tc>
          <w:tcPr>
            <w:tcW w:w="2254" w:type="dxa"/>
          </w:tcPr>
          <w:p w:rsidR="009D0D6D" w:rsidRPr="00A25218" w:rsidRDefault="009D0D6D" w:rsidP="00CF2C1B">
            <w:pPr>
              <w:jc w:val="both"/>
              <w:rPr>
                <w:rFonts w:ascii="Times New Roman" w:hAnsi="Times New Roman" w:cs="Times New Roman"/>
                <w:sz w:val="18"/>
                <w:szCs w:val="18"/>
                <w:lang w:val="ro-RO"/>
              </w:rPr>
            </w:pPr>
          </w:p>
        </w:tc>
        <w:tc>
          <w:tcPr>
            <w:tcW w:w="2254" w:type="dxa"/>
          </w:tcPr>
          <w:p w:rsidR="009D0D6D" w:rsidRPr="00A25218" w:rsidRDefault="009D0D6D" w:rsidP="00CF2C1B">
            <w:pPr>
              <w:jc w:val="both"/>
              <w:rPr>
                <w:rFonts w:ascii="Times New Roman" w:hAnsi="Times New Roman" w:cs="Times New Roman"/>
                <w:sz w:val="18"/>
                <w:szCs w:val="18"/>
                <w:lang w:val="ro-RO"/>
              </w:rPr>
            </w:pPr>
            <w:r w:rsidRPr="00A25218">
              <w:rPr>
                <w:rFonts w:ascii="Times New Roman" w:hAnsi="Times New Roman" w:cs="Times New Roman"/>
                <w:sz w:val="18"/>
                <w:szCs w:val="18"/>
                <w:lang w:val="ro-RO"/>
              </w:rPr>
              <w:t>27</w:t>
            </w:r>
          </w:p>
        </w:tc>
      </w:tr>
    </w:tbl>
    <w:p w:rsidR="0008487F" w:rsidRPr="006A3883" w:rsidRDefault="0008487F" w:rsidP="0008487F">
      <w:pPr>
        <w:spacing w:after="0" w:line="240" w:lineRule="auto"/>
        <w:jc w:val="both"/>
        <w:rPr>
          <w:rFonts w:ascii="Times New Roman" w:hAnsi="Times New Roman" w:cs="Times New Roman"/>
          <w:b/>
          <w:bCs/>
          <w:sz w:val="24"/>
          <w:szCs w:val="24"/>
          <w:lang w:val="ro-RO"/>
        </w:rPr>
      </w:pPr>
    </w:p>
    <w:p w:rsidR="0008487F" w:rsidRPr="00695773" w:rsidRDefault="00FD3055" w:rsidP="006A3883">
      <w:pPr>
        <w:spacing w:after="0" w:line="240" w:lineRule="auto"/>
        <w:jc w:val="both"/>
        <w:rPr>
          <w:rFonts w:ascii="Times New Roman" w:hAnsi="Times New Roman" w:cs="Times New Roman"/>
          <w:sz w:val="24"/>
          <w:szCs w:val="24"/>
          <w:lang w:val="ro-RO"/>
        </w:rPr>
      </w:pPr>
      <w:r w:rsidRPr="00695773">
        <w:rPr>
          <w:rFonts w:ascii="Times New Roman" w:hAnsi="Times New Roman" w:cs="Times New Roman"/>
          <w:i/>
          <w:iCs/>
          <w:sz w:val="24"/>
          <w:szCs w:val="24"/>
          <w:lang w:val="ro-RO"/>
        </w:rPr>
        <w:t>Ta</w:t>
      </w:r>
      <w:r w:rsidR="00A714EC" w:rsidRPr="00695773">
        <w:rPr>
          <w:rFonts w:ascii="Times New Roman" w:hAnsi="Times New Roman" w:cs="Times New Roman"/>
          <w:i/>
          <w:iCs/>
          <w:sz w:val="24"/>
          <w:szCs w:val="24"/>
          <w:lang w:val="ro-RO"/>
        </w:rPr>
        <w:t>bel 1. Categoriile de condiții</w:t>
      </w:r>
      <w:r w:rsidR="00437392">
        <w:rPr>
          <w:rFonts w:ascii="Times New Roman" w:hAnsi="Times New Roman" w:cs="Times New Roman"/>
          <w:i/>
          <w:iCs/>
          <w:sz w:val="24"/>
          <w:szCs w:val="24"/>
          <w:lang w:val="ro-RO"/>
        </w:rPr>
        <w:t xml:space="preserve"> impuse candidaților-partide </w:t>
      </w:r>
      <w:r w:rsidRPr="00695773">
        <w:rPr>
          <w:rFonts w:ascii="Times New Roman" w:hAnsi="Times New Roman" w:cs="Times New Roman"/>
          <w:i/>
          <w:iCs/>
          <w:sz w:val="24"/>
          <w:szCs w:val="24"/>
          <w:lang w:val="ro-RO"/>
        </w:rPr>
        <w:t>la înregistrarea pentru alegerile europarlamentare</w:t>
      </w:r>
    </w:p>
    <w:p w:rsidR="0008487F" w:rsidRDefault="0008487F" w:rsidP="002566BB">
      <w:pPr>
        <w:spacing w:after="0" w:line="240" w:lineRule="auto"/>
        <w:ind w:firstLine="720"/>
        <w:jc w:val="both"/>
        <w:rPr>
          <w:rFonts w:ascii="Times New Roman" w:hAnsi="Times New Roman" w:cs="Times New Roman"/>
          <w:sz w:val="24"/>
          <w:szCs w:val="24"/>
          <w:lang w:val="ro-RO"/>
        </w:rPr>
      </w:pPr>
    </w:p>
    <w:p w:rsidR="00911179" w:rsidRPr="005B0FD8" w:rsidRDefault="0019769A" w:rsidP="002566BB">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Depozitul în bani care este necesar de depus pornește de la un minim de</w:t>
      </w:r>
      <w:r w:rsidR="00911179" w:rsidRPr="005B0FD8">
        <w:rPr>
          <w:rFonts w:ascii="Times New Roman" w:hAnsi="Times New Roman" w:cs="Times New Roman"/>
          <w:sz w:val="24"/>
          <w:szCs w:val="24"/>
          <w:lang w:val="ro-RO"/>
        </w:rPr>
        <w:t xml:space="preserve"> 0 (zero) până la</w:t>
      </w:r>
      <w:r w:rsidRPr="005B0FD8">
        <w:rPr>
          <w:rFonts w:ascii="Times New Roman" w:hAnsi="Times New Roman" w:cs="Times New Roman"/>
          <w:sz w:val="24"/>
          <w:szCs w:val="24"/>
          <w:lang w:val="ro-RO"/>
        </w:rPr>
        <w:t xml:space="preserve"> un maxim de</w:t>
      </w:r>
      <w:r w:rsidR="00283524" w:rsidRPr="005B0FD8">
        <w:rPr>
          <w:rFonts w:ascii="Times New Roman" w:hAnsi="Times New Roman" w:cs="Times New Roman"/>
          <w:sz w:val="24"/>
          <w:szCs w:val="24"/>
          <w:lang w:val="ro-RO"/>
        </w:rPr>
        <w:t xml:space="preserve"> </w:t>
      </w:r>
      <w:r w:rsidRPr="005B0FD8">
        <w:rPr>
          <w:rFonts w:ascii="Times New Roman" w:hAnsi="Times New Roman" w:cs="Times New Roman"/>
          <w:sz w:val="24"/>
          <w:szCs w:val="24"/>
          <w:lang w:val="ro-RO"/>
        </w:rPr>
        <w:t xml:space="preserve">17,000 de euro. </w:t>
      </w:r>
      <w:r w:rsidR="00283524" w:rsidRPr="005B0FD8">
        <w:rPr>
          <w:rFonts w:ascii="Times New Roman" w:hAnsi="Times New Roman" w:cs="Times New Roman"/>
          <w:sz w:val="24"/>
          <w:szCs w:val="24"/>
          <w:lang w:val="ro-RO"/>
        </w:rPr>
        <w:t>Numărul maxim este solicitat în Slovacia și numărul minim adică zero, se regăsește în cincisprezece țări (Belgia, Croația</w:t>
      </w:r>
      <w:r w:rsidR="007E0B09" w:rsidRPr="005B0FD8">
        <w:rPr>
          <w:rFonts w:ascii="Times New Roman" w:hAnsi="Times New Roman" w:cs="Times New Roman"/>
          <w:sz w:val="24"/>
          <w:szCs w:val="24"/>
          <w:lang w:val="ro-RO"/>
        </w:rPr>
        <w:t>,</w:t>
      </w:r>
      <w:r w:rsidR="00283524" w:rsidRPr="005B0FD8">
        <w:rPr>
          <w:rFonts w:ascii="Times New Roman" w:hAnsi="Times New Roman" w:cs="Times New Roman"/>
          <w:sz w:val="24"/>
          <w:szCs w:val="24"/>
          <w:lang w:val="ro-RO"/>
        </w:rPr>
        <w:t xml:space="preserve"> Danemarca, Finlanda, Germania, </w:t>
      </w:r>
      <w:r w:rsidR="007E0B09" w:rsidRPr="005B0FD8">
        <w:rPr>
          <w:rFonts w:ascii="Times New Roman" w:hAnsi="Times New Roman" w:cs="Times New Roman"/>
          <w:sz w:val="24"/>
          <w:szCs w:val="24"/>
          <w:lang w:val="ro-RO"/>
        </w:rPr>
        <w:t xml:space="preserve">Irlanda, Italia, Luxemburg, Polonia, Portugalia, România, Slovenia, Spania, Suedia, Ungaria) printre care, reiterez, și în România. </w:t>
      </w:r>
      <w:r w:rsidR="00DF420C" w:rsidRPr="005B0FD8">
        <w:rPr>
          <w:rFonts w:ascii="Times New Roman" w:hAnsi="Times New Roman" w:cs="Times New Roman"/>
          <w:sz w:val="24"/>
          <w:szCs w:val="24"/>
          <w:lang w:val="ro-RO"/>
        </w:rPr>
        <w:t xml:space="preserve">Astfel, România este </w:t>
      </w:r>
      <w:r w:rsidR="003140F2">
        <w:rPr>
          <w:rFonts w:ascii="Times New Roman" w:hAnsi="Times New Roman" w:cs="Times New Roman"/>
          <w:sz w:val="24"/>
          <w:szCs w:val="24"/>
          <w:lang w:val="ro-RO"/>
        </w:rPr>
        <w:t xml:space="preserve">parte din acea </w:t>
      </w:r>
      <w:r w:rsidR="00DF420C" w:rsidRPr="005B0FD8">
        <w:rPr>
          <w:rFonts w:ascii="Times New Roman" w:hAnsi="Times New Roman" w:cs="Times New Roman"/>
          <w:sz w:val="24"/>
          <w:szCs w:val="24"/>
          <w:lang w:val="ro-RO"/>
        </w:rPr>
        <w:t>jumătate</w:t>
      </w:r>
      <w:r w:rsidR="00715161">
        <w:rPr>
          <w:rFonts w:ascii="Times New Roman" w:hAnsi="Times New Roman" w:cs="Times New Roman"/>
          <w:sz w:val="24"/>
          <w:szCs w:val="24"/>
          <w:lang w:val="ro-RO"/>
        </w:rPr>
        <w:t xml:space="preserve"> din</w:t>
      </w:r>
      <w:r w:rsidR="00DF420C" w:rsidRPr="005B0FD8">
        <w:rPr>
          <w:rFonts w:ascii="Times New Roman" w:hAnsi="Times New Roman" w:cs="Times New Roman"/>
          <w:sz w:val="24"/>
          <w:szCs w:val="24"/>
          <w:lang w:val="ro-RO"/>
        </w:rPr>
        <w:t xml:space="preserve"> țări din </w:t>
      </w:r>
      <w:r w:rsidR="0056281B">
        <w:rPr>
          <w:rFonts w:ascii="Times New Roman" w:hAnsi="Times New Roman" w:cs="Times New Roman"/>
          <w:sz w:val="24"/>
          <w:szCs w:val="24"/>
          <w:lang w:val="ro-RO"/>
        </w:rPr>
        <w:t xml:space="preserve">ale </w:t>
      </w:r>
      <w:r w:rsidR="00DF420C" w:rsidRPr="005B0FD8">
        <w:rPr>
          <w:rFonts w:ascii="Times New Roman" w:hAnsi="Times New Roman" w:cs="Times New Roman"/>
          <w:sz w:val="24"/>
          <w:szCs w:val="24"/>
          <w:lang w:val="ro-RO"/>
        </w:rPr>
        <w:t xml:space="preserve">UE </w:t>
      </w:r>
      <w:r w:rsidR="0056281B">
        <w:rPr>
          <w:rFonts w:ascii="Times New Roman" w:hAnsi="Times New Roman" w:cs="Times New Roman"/>
          <w:sz w:val="24"/>
          <w:szCs w:val="24"/>
          <w:lang w:val="ro-RO"/>
        </w:rPr>
        <w:t>în s</w:t>
      </w:r>
      <w:r w:rsidR="00DF420C" w:rsidRPr="005B0FD8">
        <w:rPr>
          <w:rFonts w:ascii="Times New Roman" w:hAnsi="Times New Roman" w:cs="Times New Roman"/>
          <w:sz w:val="24"/>
          <w:szCs w:val="24"/>
          <w:lang w:val="ro-RO"/>
        </w:rPr>
        <w:t>care nu</w:t>
      </w:r>
      <w:r w:rsidR="0056281B">
        <w:rPr>
          <w:rFonts w:ascii="Times New Roman" w:hAnsi="Times New Roman" w:cs="Times New Roman"/>
          <w:sz w:val="24"/>
          <w:szCs w:val="24"/>
          <w:lang w:val="ro-RO"/>
        </w:rPr>
        <w:t xml:space="preserve"> se </w:t>
      </w:r>
      <w:r w:rsidR="00DF420C" w:rsidRPr="005B0FD8">
        <w:rPr>
          <w:rFonts w:ascii="Times New Roman" w:hAnsi="Times New Roman" w:cs="Times New Roman"/>
          <w:sz w:val="24"/>
          <w:szCs w:val="24"/>
          <w:lang w:val="ro-RO"/>
        </w:rPr>
        <w:t xml:space="preserve"> solicită bani</w:t>
      </w:r>
      <w:r w:rsidR="000F52EC" w:rsidRPr="005B0FD8">
        <w:rPr>
          <w:rFonts w:ascii="Times New Roman" w:hAnsi="Times New Roman" w:cs="Times New Roman"/>
          <w:sz w:val="24"/>
          <w:szCs w:val="24"/>
          <w:lang w:val="ro-RO"/>
        </w:rPr>
        <w:t xml:space="preserve"> partidelor politice</w:t>
      </w:r>
      <w:r w:rsidR="00DF420C" w:rsidRPr="005B0FD8">
        <w:rPr>
          <w:rFonts w:ascii="Times New Roman" w:hAnsi="Times New Roman" w:cs="Times New Roman"/>
          <w:sz w:val="24"/>
          <w:szCs w:val="24"/>
          <w:lang w:val="ro-RO"/>
        </w:rPr>
        <w:t xml:space="preserve"> pentru înscrierea unei liste electorale la alegerile europarlamentare. </w:t>
      </w:r>
      <w:r w:rsidR="0093549E" w:rsidRPr="005B0FD8">
        <w:rPr>
          <w:rFonts w:ascii="Times New Roman" w:hAnsi="Times New Roman" w:cs="Times New Roman"/>
          <w:sz w:val="24"/>
          <w:szCs w:val="24"/>
          <w:lang w:val="ro-RO"/>
        </w:rPr>
        <w:t>Slovacia are un depozit</w:t>
      </w:r>
      <w:r w:rsidR="00E17A8F" w:rsidRPr="005B0FD8">
        <w:rPr>
          <w:rFonts w:ascii="Times New Roman" w:hAnsi="Times New Roman" w:cs="Times New Roman"/>
          <w:sz w:val="24"/>
          <w:szCs w:val="24"/>
          <w:lang w:val="ro-RO"/>
        </w:rPr>
        <w:t xml:space="preserve"> foarte</w:t>
      </w:r>
      <w:r w:rsidR="0093549E" w:rsidRPr="005B0FD8">
        <w:rPr>
          <w:rFonts w:ascii="Times New Roman" w:hAnsi="Times New Roman" w:cs="Times New Roman"/>
          <w:sz w:val="24"/>
          <w:szCs w:val="24"/>
          <w:lang w:val="ro-RO"/>
        </w:rPr>
        <w:t xml:space="preserve"> m</w:t>
      </w:r>
      <w:r w:rsidR="00860252" w:rsidRPr="005B0FD8">
        <w:rPr>
          <w:rFonts w:ascii="Times New Roman" w:hAnsi="Times New Roman" w:cs="Times New Roman"/>
          <w:sz w:val="24"/>
          <w:szCs w:val="24"/>
          <w:lang w:val="ro-RO"/>
        </w:rPr>
        <w:t>are</w:t>
      </w:r>
      <w:r w:rsidR="00CF2C1B">
        <w:rPr>
          <w:rFonts w:ascii="Times New Roman" w:hAnsi="Times New Roman" w:cs="Times New Roman"/>
          <w:sz w:val="24"/>
          <w:szCs w:val="24"/>
          <w:lang w:val="ro-RO"/>
        </w:rPr>
        <w:t>,</w:t>
      </w:r>
      <w:r w:rsidR="00860252" w:rsidRPr="005B0FD8">
        <w:rPr>
          <w:rFonts w:ascii="Times New Roman" w:hAnsi="Times New Roman" w:cs="Times New Roman"/>
          <w:sz w:val="24"/>
          <w:szCs w:val="24"/>
          <w:lang w:val="ro-RO"/>
        </w:rPr>
        <w:t xml:space="preserve"> însă nu solicită semnături. Dar și alte țări, Cipru (6,000 </w:t>
      </w:r>
      <w:r w:rsidR="00673816" w:rsidRPr="005B0FD8">
        <w:rPr>
          <w:rFonts w:ascii="Times New Roman" w:hAnsi="Times New Roman" w:cs="Times New Roman"/>
          <w:sz w:val="24"/>
          <w:szCs w:val="24"/>
          <w:lang w:val="ro-RO"/>
        </w:rPr>
        <w:t>€</w:t>
      </w:r>
      <w:r w:rsidR="00860252" w:rsidRPr="005B0FD8">
        <w:rPr>
          <w:rFonts w:ascii="Times New Roman" w:hAnsi="Times New Roman" w:cs="Times New Roman"/>
          <w:sz w:val="24"/>
          <w:szCs w:val="24"/>
          <w:lang w:val="ro-RO"/>
        </w:rPr>
        <w:t>), Franța (9,200</w:t>
      </w:r>
      <w:r w:rsidR="00673816" w:rsidRPr="005B0FD8">
        <w:rPr>
          <w:rFonts w:ascii="Times New Roman" w:hAnsi="Times New Roman" w:cs="Times New Roman"/>
          <w:sz w:val="24"/>
          <w:szCs w:val="24"/>
          <w:lang w:val="ro-RO"/>
        </w:rPr>
        <w:t xml:space="preserve"> €</w:t>
      </w:r>
      <w:r w:rsidR="00860252" w:rsidRPr="005B0FD8">
        <w:rPr>
          <w:rFonts w:ascii="Times New Roman" w:hAnsi="Times New Roman" w:cs="Times New Roman"/>
          <w:sz w:val="24"/>
          <w:szCs w:val="24"/>
          <w:lang w:val="ro-RO"/>
        </w:rPr>
        <w:t xml:space="preserve">), Lituania (9,350 </w:t>
      </w:r>
      <w:r w:rsidR="00673816" w:rsidRPr="005B0FD8">
        <w:rPr>
          <w:rFonts w:ascii="Times New Roman" w:hAnsi="Times New Roman" w:cs="Times New Roman"/>
          <w:sz w:val="24"/>
          <w:szCs w:val="24"/>
          <w:lang w:val="ro-RO"/>
        </w:rPr>
        <w:t>€</w:t>
      </w:r>
      <w:r w:rsidR="00860252" w:rsidRPr="005B0FD8">
        <w:rPr>
          <w:rFonts w:ascii="Times New Roman" w:hAnsi="Times New Roman" w:cs="Times New Roman"/>
          <w:sz w:val="24"/>
          <w:szCs w:val="24"/>
          <w:lang w:val="ro-RO"/>
        </w:rPr>
        <w:t>)</w:t>
      </w:r>
      <w:r w:rsidR="00327C4F" w:rsidRPr="005B0FD8">
        <w:rPr>
          <w:rFonts w:ascii="Times New Roman" w:hAnsi="Times New Roman" w:cs="Times New Roman"/>
          <w:sz w:val="24"/>
          <w:szCs w:val="24"/>
          <w:lang w:val="ro-RO"/>
        </w:rPr>
        <w:t xml:space="preserve"> și </w:t>
      </w:r>
      <w:r w:rsidR="00860252" w:rsidRPr="005B0FD8">
        <w:rPr>
          <w:rFonts w:ascii="Times New Roman" w:hAnsi="Times New Roman" w:cs="Times New Roman"/>
          <w:sz w:val="24"/>
          <w:szCs w:val="24"/>
          <w:lang w:val="ro-RO"/>
        </w:rPr>
        <w:t>Olanda (11,200</w:t>
      </w:r>
      <w:r w:rsidR="00673816" w:rsidRPr="005B0FD8">
        <w:rPr>
          <w:rFonts w:ascii="Times New Roman" w:hAnsi="Times New Roman" w:cs="Times New Roman"/>
          <w:sz w:val="24"/>
          <w:szCs w:val="24"/>
          <w:lang w:val="ro-RO"/>
        </w:rPr>
        <w:t xml:space="preserve"> €</w:t>
      </w:r>
      <w:r w:rsidR="00860252" w:rsidRPr="005B0FD8">
        <w:rPr>
          <w:rFonts w:ascii="Times New Roman" w:hAnsi="Times New Roman" w:cs="Times New Roman"/>
          <w:sz w:val="24"/>
          <w:szCs w:val="24"/>
          <w:lang w:val="ro-RO"/>
        </w:rPr>
        <w:t>)</w:t>
      </w:r>
      <w:r w:rsidR="00327C4F" w:rsidRPr="005B0FD8">
        <w:rPr>
          <w:rFonts w:ascii="Times New Roman" w:hAnsi="Times New Roman" w:cs="Times New Roman"/>
          <w:sz w:val="24"/>
          <w:szCs w:val="24"/>
          <w:lang w:val="ro-RO"/>
        </w:rPr>
        <w:t xml:space="preserve"> </w:t>
      </w:r>
      <w:r w:rsidR="00CF2C1B">
        <w:rPr>
          <w:rFonts w:ascii="Times New Roman" w:hAnsi="Times New Roman" w:cs="Times New Roman"/>
          <w:sz w:val="24"/>
          <w:szCs w:val="24"/>
          <w:lang w:val="ro-RO"/>
        </w:rPr>
        <w:t xml:space="preserve">aplică o politic a </w:t>
      </w:r>
      <w:r w:rsidR="00673816" w:rsidRPr="005B0FD8">
        <w:rPr>
          <w:rFonts w:ascii="Times New Roman" w:hAnsi="Times New Roman" w:cs="Times New Roman"/>
          <w:sz w:val="24"/>
          <w:szCs w:val="24"/>
          <w:lang w:val="ro-RO"/>
        </w:rPr>
        <w:t>depozite</w:t>
      </w:r>
      <w:r w:rsidR="00CF2C1B">
        <w:rPr>
          <w:rFonts w:ascii="Times New Roman" w:hAnsi="Times New Roman" w:cs="Times New Roman"/>
          <w:sz w:val="24"/>
          <w:szCs w:val="24"/>
          <w:lang w:val="ro-RO"/>
        </w:rPr>
        <w:t>lor</w:t>
      </w:r>
      <w:r w:rsidR="00673816" w:rsidRPr="005B0FD8">
        <w:rPr>
          <w:rFonts w:ascii="Times New Roman" w:hAnsi="Times New Roman" w:cs="Times New Roman"/>
          <w:sz w:val="24"/>
          <w:szCs w:val="24"/>
          <w:lang w:val="ro-RO"/>
        </w:rPr>
        <w:t xml:space="preserve"> mari.</w:t>
      </w:r>
      <w:r w:rsidR="00327C4F" w:rsidRPr="005B0FD8">
        <w:rPr>
          <w:rFonts w:ascii="Times New Roman" w:hAnsi="Times New Roman" w:cs="Times New Roman"/>
          <w:sz w:val="24"/>
          <w:szCs w:val="24"/>
          <w:lang w:val="ro-RO"/>
        </w:rPr>
        <w:t xml:space="preserve"> Majoritatea din aceste cinci țări cu depozite mai mari de 5,000 € nu solicită semnături sau foarte puține, cum este Olanda (30 de semnături)</w:t>
      </w:r>
      <w:r w:rsidR="00826716" w:rsidRPr="005B0FD8">
        <w:rPr>
          <w:rFonts w:ascii="Times New Roman" w:hAnsi="Times New Roman" w:cs="Times New Roman"/>
          <w:sz w:val="24"/>
          <w:szCs w:val="24"/>
          <w:lang w:val="ro-RO"/>
        </w:rPr>
        <w:t xml:space="preserve">, excepție făcând </w:t>
      </w:r>
      <w:r w:rsidR="0012052F" w:rsidRPr="005B0FD8">
        <w:rPr>
          <w:rFonts w:ascii="Times New Roman" w:hAnsi="Times New Roman" w:cs="Times New Roman"/>
          <w:sz w:val="24"/>
          <w:szCs w:val="24"/>
          <w:lang w:val="ro-RO"/>
        </w:rPr>
        <w:t>Lituania care</w:t>
      </w:r>
      <w:r w:rsidR="00CF2C1B">
        <w:rPr>
          <w:rFonts w:ascii="Times New Roman" w:hAnsi="Times New Roman" w:cs="Times New Roman"/>
          <w:sz w:val="24"/>
          <w:szCs w:val="24"/>
          <w:lang w:val="ro-RO"/>
        </w:rPr>
        <w:t>, alături de</w:t>
      </w:r>
      <w:r w:rsidR="0012052F" w:rsidRPr="005B0FD8">
        <w:rPr>
          <w:rFonts w:ascii="Times New Roman" w:hAnsi="Times New Roman" w:cs="Times New Roman"/>
          <w:sz w:val="24"/>
          <w:szCs w:val="24"/>
          <w:lang w:val="ro-RO"/>
        </w:rPr>
        <w:t xml:space="preserve"> depozit</w:t>
      </w:r>
      <w:r w:rsidR="00CF2C1B">
        <w:rPr>
          <w:rFonts w:ascii="Times New Roman" w:hAnsi="Times New Roman" w:cs="Times New Roman"/>
          <w:sz w:val="24"/>
          <w:szCs w:val="24"/>
          <w:lang w:val="ro-RO"/>
        </w:rPr>
        <w:t xml:space="preserve">ul de 9,350 </w:t>
      </w:r>
      <w:r w:rsidR="00CF2C1B" w:rsidRPr="005B0FD8">
        <w:rPr>
          <w:rFonts w:ascii="Times New Roman" w:hAnsi="Times New Roman" w:cs="Times New Roman"/>
          <w:sz w:val="24"/>
          <w:szCs w:val="24"/>
          <w:lang w:val="ro-RO"/>
        </w:rPr>
        <w:t>€</w:t>
      </w:r>
      <w:r w:rsidR="0012052F" w:rsidRPr="005B0FD8">
        <w:rPr>
          <w:rFonts w:ascii="Times New Roman" w:hAnsi="Times New Roman" w:cs="Times New Roman"/>
          <w:sz w:val="24"/>
          <w:szCs w:val="24"/>
          <w:lang w:val="ro-RO"/>
        </w:rPr>
        <w:t xml:space="preserve"> cere și 10,000 de semnături.</w:t>
      </w:r>
      <w:r w:rsidR="0012052F" w:rsidRPr="005B0FD8">
        <w:rPr>
          <w:rStyle w:val="FootnoteReference"/>
          <w:rFonts w:ascii="Times New Roman" w:hAnsi="Times New Roman" w:cs="Times New Roman"/>
          <w:sz w:val="24"/>
          <w:szCs w:val="24"/>
          <w:lang w:val="ro-RO"/>
        </w:rPr>
        <w:footnoteReference w:id="29"/>
      </w:r>
      <w:r w:rsidR="0012052F" w:rsidRPr="005B0FD8">
        <w:rPr>
          <w:rFonts w:ascii="Times New Roman" w:hAnsi="Times New Roman" w:cs="Times New Roman"/>
          <w:sz w:val="24"/>
          <w:szCs w:val="24"/>
          <w:lang w:val="ro-RO"/>
        </w:rPr>
        <w:t xml:space="preserve"> </w:t>
      </w:r>
    </w:p>
    <w:p w:rsidR="00C24F18" w:rsidRPr="005B0FD8" w:rsidRDefault="00762BD9" w:rsidP="00BA626B">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Media europeană a semnăturilor solicitate de legile electorale partidelor politice pentru înscrierea în cursa electorală este de 12,821 de semnături, dacă România este inclusă</w:t>
      </w:r>
      <w:r w:rsidR="009578B7">
        <w:rPr>
          <w:rFonts w:ascii="Times New Roman" w:hAnsi="Times New Roman" w:cs="Times New Roman"/>
          <w:sz w:val="24"/>
          <w:szCs w:val="24"/>
          <w:lang w:val="ro-RO"/>
        </w:rPr>
        <w:t>,</w:t>
      </w:r>
      <w:r w:rsidRPr="005B0FD8">
        <w:rPr>
          <w:rFonts w:ascii="Times New Roman" w:hAnsi="Times New Roman" w:cs="Times New Roman"/>
          <w:sz w:val="24"/>
          <w:szCs w:val="24"/>
          <w:lang w:val="ro-RO"/>
        </w:rPr>
        <w:t xml:space="preserve"> și </w:t>
      </w:r>
      <w:r w:rsidR="009578B7">
        <w:rPr>
          <w:rFonts w:ascii="Times New Roman" w:hAnsi="Times New Roman" w:cs="Times New Roman"/>
          <w:sz w:val="24"/>
          <w:szCs w:val="24"/>
          <w:lang w:val="ro-RO"/>
        </w:rPr>
        <w:t xml:space="preserve">de </w:t>
      </w:r>
      <w:r w:rsidRPr="005B0FD8">
        <w:rPr>
          <w:rFonts w:ascii="Times New Roman" w:hAnsi="Times New Roman" w:cs="Times New Roman"/>
          <w:sz w:val="24"/>
          <w:szCs w:val="24"/>
          <w:lang w:val="ro-RO"/>
        </w:rPr>
        <w:t>5,622 de semnături</w:t>
      </w:r>
      <w:r w:rsidR="009578B7">
        <w:rPr>
          <w:rFonts w:ascii="Times New Roman" w:hAnsi="Times New Roman" w:cs="Times New Roman"/>
          <w:sz w:val="24"/>
          <w:szCs w:val="24"/>
          <w:lang w:val="ro-RO"/>
        </w:rPr>
        <w:t>,</w:t>
      </w:r>
      <w:r w:rsidRPr="005B0FD8">
        <w:rPr>
          <w:rFonts w:ascii="Times New Roman" w:hAnsi="Times New Roman" w:cs="Times New Roman"/>
          <w:sz w:val="24"/>
          <w:szCs w:val="24"/>
          <w:lang w:val="ro-RO"/>
        </w:rPr>
        <w:t xml:space="preserve"> dacă este exclusă România din medie. Astfel, s</w:t>
      </w:r>
      <w:r w:rsidR="009578B7">
        <w:rPr>
          <w:rFonts w:ascii="Times New Roman" w:hAnsi="Times New Roman" w:cs="Times New Roman"/>
          <w:sz w:val="24"/>
          <w:szCs w:val="24"/>
          <w:lang w:val="ro-RO"/>
        </w:rPr>
        <w:t>e poate vedea că prevederile din România</w:t>
      </w:r>
      <w:r w:rsidRPr="005B0FD8">
        <w:rPr>
          <w:rFonts w:ascii="Times New Roman" w:hAnsi="Times New Roman" w:cs="Times New Roman"/>
          <w:sz w:val="24"/>
          <w:szCs w:val="24"/>
          <w:lang w:val="ro-RO"/>
        </w:rPr>
        <w:t xml:space="preserve"> dublează media europeană de semnături. </w:t>
      </w:r>
      <w:r w:rsidR="009578B7">
        <w:rPr>
          <w:rFonts w:ascii="Times New Roman" w:hAnsi="Times New Roman" w:cs="Times New Roman"/>
          <w:sz w:val="24"/>
          <w:szCs w:val="24"/>
          <w:lang w:val="ro-RO"/>
        </w:rPr>
        <w:t xml:space="preserve">După cum se poate observa, </w:t>
      </w:r>
      <w:r w:rsidR="00E7757C" w:rsidRPr="005B0FD8">
        <w:rPr>
          <w:rFonts w:ascii="Times New Roman" w:hAnsi="Times New Roman" w:cs="Times New Roman"/>
          <w:sz w:val="24"/>
          <w:szCs w:val="24"/>
          <w:lang w:val="ro-RO"/>
        </w:rPr>
        <w:t>România și Slovacia sunt două țări aflate la două extreme, prima din punct de vedere al semnăturilor</w:t>
      </w:r>
      <w:r w:rsidR="00B21975" w:rsidRPr="005B0FD8">
        <w:rPr>
          <w:rFonts w:ascii="Times New Roman" w:hAnsi="Times New Roman" w:cs="Times New Roman"/>
          <w:sz w:val="24"/>
          <w:szCs w:val="24"/>
          <w:lang w:val="ro-RO"/>
        </w:rPr>
        <w:t xml:space="preserve"> (200,000 de semnături)</w:t>
      </w:r>
      <w:r w:rsidR="00E7757C" w:rsidRPr="005B0FD8">
        <w:rPr>
          <w:rFonts w:ascii="Times New Roman" w:hAnsi="Times New Roman" w:cs="Times New Roman"/>
          <w:sz w:val="24"/>
          <w:szCs w:val="24"/>
          <w:lang w:val="ro-RO"/>
        </w:rPr>
        <w:t xml:space="preserve"> și a doua din punct de vedere al depozitului în euro solicitat</w:t>
      </w:r>
      <w:r w:rsidR="00B21975" w:rsidRPr="005B0FD8">
        <w:rPr>
          <w:rFonts w:ascii="Times New Roman" w:hAnsi="Times New Roman" w:cs="Times New Roman"/>
          <w:sz w:val="24"/>
          <w:szCs w:val="24"/>
          <w:lang w:val="ro-RO"/>
        </w:rPr>
        <w:t xml:space="preserve"> (17,000 €)</w:t>
      </w:r>
      <w:r w:rsidR="00E7757C" w:rsidRPr="005B0FD8">
        <w:rPr>
          <w:rFonts w:ascii="Times New Roman" w:hAnsi="Times New Roman" w:cs="Times New Roman"/>
          <w:sz w:val="24"/>
          <w:szCs w:val="24"/>
          <w:lang w:val="ro-RO"/>
        </w:rPr>
        <w:t xml:space="preserve">. </w:t>
      </w:r>
    </w:p>
    <w:p w:rsidR="00BA626B" w:rsidRDefault="00BA626B" w:rsidP="002566BB">
      <w:pPr>
        <w:spacing w:after="0" w:line="240" w:lineRule="auto"/>
        <w:jc w:val="both"/>
        <w:rPr>
          <w:rFonts w:ascii="Times New Roman" w:hAnsi="Times New Roman" w:cs="Times New Roman"/>
          <w:sz w:val="24"/>
          <w:szCs w:val="24"/>
          <w:lang w:val="ro-RO"/>
        </w:rPr>
      </w:pPr>
    </w:p>
    <w:p w:rsidR="00D92E4F" w:rsidRPr="005B0FD8" w:rsidRDefault="00E6781C" w:rsidP="002566BB">
      <w:pPr>
        <w:spacing w:after="0" w:line="240" w:lineRule="auto"/>
        <w:jc w:val="both"/>
        <w:rPr>
          <w:rFonts w:ascii="Times New Roman" w:hAnsi="Times New Roman" w:cs="Times New Roman"/>
          <w:sz w:val="24"/>
          <w:szCs w:val="24"/>
          <w:lang w:val="ro-RO"/>
        </w:rPr>
      </w:pPr>
      <w:r>
        <w:rPr>
          <w:noProof/>
          <w:lang w:eastAsia="en-GB" w:bidi="te-IN"/>
        </w:rPr>
        <w:lastRenderedPageBreak/>
        <w:drawing>
          <wp:inline distT="0" distB="0" distL="0" distR="0" wp14:anchorId="5BDDC0B0" wp14:editId="678A1F16">
            <wp:extent cx="5760771" cy="5098694"/>
            <wp:effectExtent l="0" t="0" r="1143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349E" w:rsidRDefault="000D349E" w:rsidP="00AE579F">
      <w:pPr>
        <w:spacing w:after="0" w:line="240" w:lineRule="auto"/>
        <w:ind w:firstLine="720"/>
        <w:jc w:val="both"/>
        <w:rPr>
          <w:rFonts w:ascii="Times New Roman" w:hAnsi="Times New Roman" w:cs="Times New Roman"/>
          <w:sz w:val="24"/>
          <w:szCs w:val="24"/>
          <w:lang w:val="ro-RO"/>
        </w:rPr>
      </w:pPr>
    </w:p>
    <w:p w:rsidR="000D349E" w:rsidRDefault="000D349E" w:rsidP="000D349E">
      <w:pPr>
        <w:spacing w:after="0" w:line="240" w:lineRule="auto"/>
        <w:jc w:val="both"/>
        <w:rPr>
          <w:rFonts w:ascii="Times New Roman" w:hAnsi="Times New Roman" w:cs="Times New Roman"/>
          <w:i/>
          <w:iCs/>
          <w:sz w:val="24"/>
          <w:szCs w:val="24"/>
          <w:lang w:val="ro-RO"/>
        </w:rPr>
      </w:pPr>
      <w:r w:rsidRPr="00B5578F">
        <w:rPr>
          <w:rFonts w:ascii="Times New Roman" w:hAnsi="Times New Roman" w:cs="Times New Roman"/>
          <w:i/>
          <w:iCs/>
          <w:sz w:val="24"/>
          <w:szCs w:val="24"/>
          <w:lang w:val="ro-RO"/>
        </w:rPr>
        <w:t xml:space="preserve">Grafic 3. Număr de semnături și depozit în bani necesari înscrierii la alegerile europarlamentare, luând în calcul reglementările din legile </w:t>
      </w:r>
      <w:r w:rsidR="009578B7">
        <w:rPr>
          <w:rFonts w:ascii="Times New Roman" w:hAnsi="Times New Roman" w:cs="Times New Roman"/>
          <w:i/>
          <w:iCs/>
          <w:sz w:val="24"/>
          <w:szCs w:val="24"/>
          <w:lang w:val="ro-RO"/>
        </w:rPr>
        <w:t>partidelor politice</w:t>
      </w:r>
    </w:p>
    <w:p w:rsidR="00B5578F" w:rsidRPr="00B5578F" w:rsidRDefault="00B5578F" w:rsidP="000D349E">
      <w:pPr>
        <w:spacing w:after="0" w:line="240" w:lineRule="auto"/>
        <w:jc w:val="both"/>
        <w:rPr>
          <w:rFonts w:ascii="Times New Roman" w:hAnsi="Times New Roman" w:cs="Times New Roman"/>
          <w:i/>
          <w:iCs/>
          <w:sz w:val="24"/>
          <w:szCs w:val="24"/>
          <w:lang w:val="ro-RO"/>
        </w:rPr>
      </w:pPr>
    </w:p>
    <w:p w:rsidR="00EB1358" w:rsidRPr="00EB1358" w:rsidRDefault="00EB1358" w:rsidP="00EB1358">
      <w:pPr>
        <w:spacing w:after="0" w:line="240" w:lineRule="auto"/>
        <w:ind w:firstLine="720"/>
        <w:jc w:val="both"/>
        <w:rPr>
          <w:rFonts w:ascii="Times New Roman" w:hAnsi="Times New Roman" w:cs="Times New Roman"/>
          <w:b/>
          <w:sz w:val="24"/>
          <w:szCs w:val="24"/>
          <w:lang w:val="ro-RO"/>
        </w:rPr>
      </w:pPr>
      <w:r w:rsidRPr="005B0FD8">
        <w:rPr>
          <w:rFonts w:ascii="Times New Roman" w:hAnsi="Times New Roman" w:cs="Times New Roman"/>
          <w:sz w:val="24"/>
          <w:szCs w:val="24"/>
          <w:lang w:val="ro-RO"/>
        </w:rPr>
        <w:t>Graficul de mai sus conține datele din legile electorale pentru alegerea memb</w:t>
      </w:r>
      <w:r>
        <w:rPr>
          <w:rFonts w:ascii="Times New Roman" w:hAnsi="Times New Roman" w:cs="Times New Roman"/>
          <w:sz w:val="24"/>
          <w:szCs w:val="24"/>
          <w:lang w:val="ro-RO"/>
        </w:rPr>
        <w:t>r</w:t>
      </w:r>
      <w:r w:rsidRPr="005B0FD8">
        <w:rPr>
          <w:rFonts w:ascii="Times New Roman" w:hAnsi="Times New Roman" w:cs="Times New Roman"/>
          <w:sz w:val="24"/>
          <w:szCs w:val="24"/>
          <w:lang w:val="ro-RO"/>
        </w:rPr>
        <w:t>ilor reprezentanților în PE.</w:t>
      </w:r>
      <w:r w:rsidR="00414B3D">
        <w:rPr>
          <w:rFonts w:ascii="Times New Roman" w:hAnsi="Times New Roman" w:cs="Times New Roman"/>
          <w:sz w:val="24"/>
          <w:szCs w:val="24"/>
          <w:lang w:val="ro-RO"/>
        </w:rPr>
        <w:t xml:space="preserve"> Lucrurile se schimbă însă într-o oarecare măsură</w:t>
      </w:r>
      <w:r w:rsidRPr="005B0FD8">
        <w:rPr>
          <w:rFonts w:ascii="Times New Roman" w:hAnsi="Times New Roman" w:cs="Times New Roman"/>
          <w:sz w:val="24"/>
          <w:szCs w:val="24"/>
          <w:lang w:val="ro-RO"/>
        </w:rPr>
        <w:t xml:space="preserve"> dacă, la datele privind însc</w:t>
      </w:r>
      <w:r>
        <w:rPr>
          <w:rFonts w:ascii="Times New Roman" w:hAnsi="Times New Roman" w:cs="Times New Roman"/>
          <w:sz w:val="24"/>
          <w:szCs w:val="24"/>
          <w:lang w:val="ro-RO"/>
        </w:rPr>
        <w:t>r</w:t>
      </w:r>
      <w:r w:rsidRPr="005B0FD8">
        <w:rPr>
          <w:rFonts w:ascii="Times New Roman" w:hAnsi="Times New Roman" w:cs="Times New Roman"/>
          <w:sz w:val="24"/>
          <w:szCs w:val="24"/>
          <w:lang w:val="ro-RO"/>
        </w:rPr>
        <w:t>ierea în cursa electorala prevăzute în legi, se adaugă datele din alte legi, cel mai adesea din legile partidelor politice, referitoare la înscrirea unui partid politic. Acest fapt se întâmplă deoarece unele țări stipulează în legile electorale doar un drept al partidului înregistrat de a se înscrie în cursa electorală, iar pentru înregistrarea unui partid politic sunt necesare adesea un număr de semnături</w:t>
      </w:r>
      <w:r w:rsidR="00414B3D">
        <w:rPr>
          <w:rFonts w:ascii="Times New Roman" w:hAnsi="Times New Roman" w:cs="Times New Roman"/>
          <w:sz w:val="24"/>
          <w:szCs w:val="24"/>
          <w:lang w:val="ro-RO"/>
        </w:rPr>
        <w:t xml:space="preserve"> care este prevăzut în legea partidelor politice și nu în legea electorală. </w:t>
      </w:r>
      <w:r w:rsidRPr="005B0FD8">
        <w:rPr>
          <w:rFonts w:ascii="Times New Roman" w:hAnsi="Times New Roman" w:cs="Times New Roman"/>
          <w:sz w:val="24"/>
          <w:szCs w:val="24"/>
          <w:lang w:val="ro-RO"/>
        </w:rPr>
        <w:t xml:space="preserve">Un caz relevant </w:t>
      </w:r>
      <w:r w:rsidR="00414B3D">
        <w:rPr>
          <w:rFonts w:ascii="Times New Roman" w:hAnsi="Times New Roman" w:cs="Times New Roman"/>
          <w:sz w:val="24"/>
          <w:szCs w:val="24"/>
          <w:lang w:val="ro-RO"/>
        </w:rPr>
        <w:t xml:space="preserve">în acest sens </w:t>
      </w:r>
      <w:r w:rsidRPr="005B0FD8">
        <w:rPr>
          <w:rFonts w:ascii="Times New Roman" w:hAnsi="Times New Roman" w:cs="Times New Roman"/>
          <w:sz w:val="24"/>
          <w:szCs w:val="24"/>
          <w:lang w:val="ro-RO"/>
        </w:rPr>
        <w:t xml:space="preserve">este Portugalia, care nu prevede nicio condiție în legea electorală pentru înscrierea la alegeri, dând dreptul </w:t>
      </w:r>
      <w:r w:rsidR="00414B3D">
        <w:rPr>
          <w:rFonts w:ascii="Times New Roman" w:hAnsi="Times New Roman" w:cs="Times New Roman"/>
          <w:sz w:val="24"/>
          <w:szCs w:val="24"/>
          <w:lang w:val="ro-RO"/>
        </w:rPr>
        <w:t xml:space="preserve">aparent liber </w:t>
      </w:r>
      <w:r w:rsidRPr="005B0FD8">
        <w:rPr>
          <w:rFonts w:ascii="Times New Roman" w:hAnsi="Times New Roman" w:cs="Times New Roman"/>
          <w:sz w:val="24"/>
          <w:szCs w:val="24"/>
          <w:lang w:val="ro-RO"/>
        </w:rPr>
        <w:t xml:space="preserve">de înscriere </w:t>
      </w:r>
      <w:r w:rsidR="00414B3D">
        <w:rPr>
          <w:rFonts w:ascii="Times New Roman" w:hAnsi="Times New Roman" w:cs="Times New Roman"/>
          <w:sz w:val="24"/>
          <w:szCs w:val="24"/>
          <w:lang w:val="ro-RO"/>
        </w:rPr>
        <w:t xml:space="preserve">al </w:t>
      </w:r>
      <w:r w:rsidRPr="005B0FD8">
        <w:rPr>
          <w:rFonts w:ascii="Times New Roman" w:hAnsi="Times New Roman" w:cs="Times New Roman"/>
          <w:sz w:val="24"/>
          <w:szCs w:val="24"/>
          <w:lang w:val="ro-RO"/>
        </w:rPr>
        <w:t xml:space="preserve">partidelor politice, </w:t>
      </w:r>
      <w:r w:rsidR="00414B3D">
        <w:rPr>
          <w:rFonts w:ascii="Times New Roman" w:hAnsi="Times New Roman" w:cs="Times New Roman"/>
          <w:sz w:val="24"/>
          <w:szCs w:val="24"/>
          <w:lang w:val="ro-RO"/>
        </w:rPr>
        <w:t xml:space="preserve">dar </w:t>
      </w:r>
      <w:r w:rsidRPr="005B0FD8">
        <w:rPr>
          <w:rFonts w:ascii="Times New Roman" w:hAnsi="Times New Roman" w:cs="Times New Roman"/>
          <w:sz w:val="24"/>
          <w:szCs w:val="24"/>
          <w:lang w:val="ro-RO"/>
        </w:rPr>
        <w:t>care însă au nevoie de cel puțin 7,500 de susț</w:t>
      </w:r>
      <w:r>
        <w:rPr>
          <w:rFonts w:ascii="Times New Roman" w:hAnsi="Times New Roman" w:cs="Times New Roman"/>
          <w:sz w:val="24"/>
          <w:szCs w:val="24"/>
          <w:lang w:val="ro-RO"/>
        </w:rPr>
        <w:t>inători pentru a se înregistra.</w:t>
      </w:r>
    </w:p>
    <w:p w:rsidR="00FF0248" w:rsidRDefault="00D92E4F" w:rsidP="00AE579F">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Adăugând la datele din legile electorale cele din legil</w:t>
      </w:r>
      <w:r w:rsidR="004E2932">
        <w:rPr>
          <w:rFonts w:ascii="Times New Roman" w:hAnsi="Times New Roman" w:cs="Times New Roman"/>
          <w:sz w:val="24"/>
          <w:szCs w:val="24"/>
          <w:lang w:val="ro-RO"/>
        </w:rPr>
        <w:t>e partidelor politice, se observă</w:t>
      </w:r>
      <w:r w:rsidR="00AE579F">
        <w:rPr>
          <w:rFonts w:ascii="Times New Roman" w:hAnsi="Times New Roman" w:cs="Times New Roman"/>
          <w:sz w:val="24"/>
          <w:szCs w:val="24"/>
          <w:lang w:val="ro-RO"/>
        </w:rPr>
        <w:t xml:space="preserve"> o schimbare vizibilă în grafic. A</w:t>
      </w:r>
      <w:r w:rsidRPr="005B0FD8">
        <w:rPr>
          <w:rFonts w:ascii="Times New Roman" w:hAnsi="Times New Roman" w:cs="Times New Roman"/>
          <w:sz w:val="24"/>
          <w:szCs w:val="24"/>
          <w:lang w:val="ro-RO"/>
        </w:rPr>
        <w:t xml:space="preserve">stfel că, România </w:t>
      </w:r>
      <w:r w:rsidR="00AE579F">
        <w:rPr>
          <w:rFonts w:ascii="Times New Roman" w:hAnsi="Times New Roman" w:cs="Times New Roman"/>
          <w:sz w:val="24"/>
          <w:szCs w:val="24"/>
          <w:lang w:val="ro-RO"/>
        </w:rPr>
        <w:t>nu mai face o notă atât de disco</w:t>
      </w:r>
      <w:r w:rsidRPr="005B0FD8">
        <w:rPr>
          <w:rFonts w:ascii="Times New Roman" w:hAnsi="Times New Roman" w:cs="Times New Roman"/>
          <w:sz w:val="24"/>
          <w:szCs w:val="24"/>
          <w:lang w:val="ro-RO"/>
        </w:rPr>
        <w:t>rdantă față de restul țărilor, Danemarca solicitând un număr mare de semnături, totalizând aprox.</w:t>
      </w:r>
      <w:r w:rsidR="002E14A4">
        <w:rPr>
          <w:rFonts w:ascii="Times New Roman" w:hAnsi="Times New Roman" w:cs="Times New Roman"/>
          <w:sz w:val="24"/>
          <w:szCs w:val="24"/>
          <w:lang w:val="ro-RO"/>
        </w:rPr>
        <w:t xml:space="preserve"> </w:t>
      </w:r>
      <w:r w:rsidR="00C57A17">
        <w:rPr>
          <w:rFonts w:ascii="Times New Roman" w:hAnsi="Times New Roman" w:cs="Times New Roman"/>
          <w:sz w:val="24"/>
          <w:szCs w:val="24"/>
          <w:lang w:val="ro-RO"/>
        </w:rPr>
        <w:t>91,5</w:t>
      </w:r>
      <w:r w:rsidR="006A2B43">
        <w:rPr>
          <w:rFonts w:ascii="Times New Roman" w:hAnsi="Times New Roman" w:cs="Times New Roman"/>
          <w:sz w:val="24"/>
          <w:szCs w:val="24"/>
          <w:lang w:val="ro-RO"/>
        </w:rPr>
        <w:t>00</w:t>
      </w:r>
      <w:r w:rsidRPr="005B0FD8">
        <w:rPr>
          <w:rFonts w:ascii="Times New Roman" w:hAnsi="Times New Roman" w:cs="Times New Roman"/>
          <w:sz w:val="24"/>
          <w:szCs w:val="24"/>
          <w:lang w:val="ro-RO"/>
        </w:rPr>
        <w:t>, cu mențiunea că acest</w:t>
      </w:r>
      <w:r w:rsidR="00106922">
        <w:rPr>
          <w:rFonts w:ascii="Times New Roman" w:hAnsi="Times New Roman" w:cs="Times New Roman"/>
          <w:sz w:val="24"/>
          <w:szCs w:val="24"/>
          <w:lang w:val="ro-RO"/>
        </w:rPr>
        <w:t>e</w:t>
      </w:r>
      <w:r w:rsidRPr="005B0FD8">
        <w:rPr>
          <w:rFonts w:ascii="Times New Roman" w:hAnsi="Times New Roman" w:cs="Times New Roman"/>
          <w:sz w:val="24"/>
          <w:szCs w:val="24"/>
          <w:lang w:val="ro-RO"/>
        </w:rPr>
        <w:t xml:space="preserve"> semnături se pot suprapune</w:t>
      </w:r>
      <w:r w:rsidR="00414B3D">
        <w:rPr>
          <w:rFonts w:ascii="Times New Roman" w:hAnsi="Times New Roman" w:cs="Times New Roman"/>
          <w:sz w:val="24"/>
          <w:szCs w:val="24"/>
          <w:lang w:val="ro-RO"/>
        </w:rPr>
        <w:t>,</w:t>
      </w:r>
      <w:r w:rsidRPr="005B0FD8">
        <w:rPr>
          <w:rFonts w:ascii="Times New Roman" w:hAnsi="Times New Roman" w:cs="Times New Roman"/>
          <w:sz w:val="24"/>
          <w:szCs w:val="24"/>
          <w:lang w:val="ro-RO"/>
        </w:rPr>
        <w:t xml:space="preserve"> în </w:t>
      </w:r>
      <w:r w:rsidR="0030796D" w:rsidRPr="005B0FD8">
        <w:rPr>
          <w:rFonts w:ascii="Times New Roman" w:hAnsi="Times New Roman" w:cs="Times New Roman"/>
          <w:sz w:val="24"/>
          <w:szCs w:val="24"/>
          <w:lang w:val="ro-RO"/>
        </w:rPr>
        <w:t>sensul că totalul este format din 20,300 de semnături de susținere (nu membri fondatori, ci doar susținători) necesare pentru înscrierea unui partid politic și 45,500 de susținători pentru alegerile eur</w:t>
      </w:r>
      <w:r w:rsidR="00106922">
        <w:rPr>
          <w:rFonts w:ascii="Times New Roman" w:hAnsi="Times New Roman" w:cs="Times New Roman"/>
          <w:sz w:val="24"/>
          <w:szCs w:val="24"/>
          <w:lang w:val="ro-RO"/>
        </w:rPr>
        <w:t>oparlamentare</w:t>
      </w:r>
      <w:r w:rsidR="00414B3D">
        <w:rPr>
          <w:rFonts w:ascii="Times New Roman" w:hAnsi="Times New Roman" w:cs="Times New Roman"/>
          <w:sz w:val="24"/>
          <w:szCs w:val="24"/>
          <w:lang w:val="ro-RO"/>
        </w:rPr>
        <w:t xml:space="preserve">, care pot fi </w:t>
      </w:r>
      <w:r w:rsidR="00106922">
        <w:rPr>
          <w:rFonts w:ascii="Times New Roman" w:hAnsi="Times New Roman" w:cs="Times New Roman"/>
          <w:sz w:val="24"/>
          <w:szCs w:val="24"/>
          <w:lang w:val="ro-RO"/>
        </w:rPr>
        <w:t xml:space="preserve">aceiași </w:t>
      </w:r>
      <w:r w:rsidR="00FF0248">
        <w:rPr>
          <w:rFonts w:ascii="Times New Roman" w:hAnsi="Times New Roman" w:cs="Times New Roman"/>
          <w:sz w:val="24"/>
          <w:szCs w:val="24"/>
          <w:lang w:val="ro-RO"/>
        </w:rPr>
        <w:t>susținători.</w:t>
      </w:r>
    </w:p>
    <w:p w:rsidR="00DD2CAA" w:rsidRDefault="00032828" w:rsidP="00AE579F">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lastRenderedPageBreak/>
        <w:t xml:space="preserve">Valorile </w:t>
      </w:r>
      <w:r w:rsidR="00122DE4">
        <w:rPr>
          <w:rFonts w:ascii="Times New Roman" w:hAnsi="Times New Roman" w:cs="Times New Roman"/>
          <w:sz w:val="24"/>
          <w:szCs w:val="24"/>
          <w:lang w:val="ro-RO"/>
        </w:rPr>
        <w:t xml:space="preserve">semnăturilor solicitate </w:t>
      </w:r>
      <w:r w:rsidRPr="005B0FD8">
        <w:rPr>
          <w:rFonts w:ascii="Times New Roman" w:hAnsi="Times New Roman" w:cs="Times New Roman"/>
          <w:sz w:val="24"/>
          <w:szCs w:val="24"/>
          <w:lang w:val="ro-RO"/>
        </w:rPr>
        <w:t>se încadrează în</w:t>
      </w:r>
      <w:r w:rsidR="00122DE4">
        <w:rPr>
          <w:rFonts w:ascii="Times New Roman" w:hAnsi="Times New Roman" w:cs="Times New Roman"/>
          <w:sz w:val="24"/>
          <w:szCs w:val="24"/>
          <w:lang w:val="ro-RO"/>
        </w:rPr>
        <w:t>tr-un</w:t>
      </w:r>
      <w:r w:rsidR="00AE3278">
        <w:rPr>
          <w:rFonts w:ascii="Times New Roman" w:hAnsi="Times New Roman" w:cs="Times New Roman"/>
          <w:sz w:val="24"/>
          <w:szCs w:val="24"/>
          <w:lang w:val="ro-RO"/>
        </w:rPr>
        <w:t xml:space="preserve"> minim</w:t>
      </w:r>
      <w:r w:rsidRPr="005B0FD8">
        <w:rPr>
          <w:rFonts w:ascii="Times New Roman" w:hAnsi="Times New Roman" w:cs="Times New Roman"/>
          <w:sz w:val="24"/>
          <w:szCs w:val="24"/>
          <w:lang w:val="ro-RO"/>
        </w:rPr>
        <w:t xml:space="preserve"> de zero, în țări ca Cipru, Cehia, Franța, Grecia și maxim, adică România. În lumina datelor completate de condițiile privind înregistrarea partidelor, </w:t>
      </w:r>
      <w:r w:rsidR="000F07E3" w:rsidRPr="005B0FD8">
        <w:rPr>
          <w:rFonts w:ascii="Times New Roman" w:hAnsi="Times New Roman" w:cs="Times New Roman"/>
          <w:sz w:val="24"/>
          <w:szCs w:val="24"/>
          <w:lang w:val="ro-RO"/>
        </w:rPr>
        <w:t>se observă că țările din UE preferă</w:t>
      </w:r>
      <w:r w:rsidR="006035B8" w:rsidRPr="005B0FD8">
        <w:rPr>
          <w:rFonts w:ascii="Times New Roman" w:hAnsi="Times New Roman" w:cs="Times New Roman"/>
          <w:sz w:val="24"/>
          <w:szCs w:val="24"/>
          <w:lang w:val="ro-RO"/>
        </w:rPr>
        <w:t xml:space="preserve"> în cea mai mare parte, adică 19</w:t>
      </w:r>
      <w:r w:rsidR="000F07E3" w:rsidRPr="005B0FD8">
        <w:rPr>
          <w:rFonts w:ascii="Times New Roman" w:hAnsi="Times New Roman" w:cs="Times New Roman"/>
          <w:sz w:val="24"/>
          <w:szCs w:val="24"/>
          <w:lang w:val="ro-RO"/>
        </w:rPr>
        <w:t xml:space="preserve"> să opteze fie pentru un prag constând în semnături, fie unul constând în depozit în bani. Astfel, un num</w:t>
      </w:r>
      <w:r w:rsidR="006035B8" w:rsidRPr="005B0FD8">
        <w:rPr>
          <w:rFonts w:ascii="Times New Roman" w:hAnsi="Times New Roman" w:cs="Times New Roman"/>
          <w:sz w:val="24"/>
          <w:szCs w:val="24"/>
          <w:lang w:val="ro-RO"/>
        </w:rPr>
        <w:t>ăr de 15</w:t>
      </w:r>
      <w:r w:rsidR="00A5561F" w:rsidRPr="005B0FD8">
        <w:rPr>
          <w:rFonts w:ascii="Times New Roman" w:hAnsi="Times New Roman" w:cs="Times New Roman"/>
          <w:sz w:val="24"/>
          <w:szCs w:val="24"/>
          <w:lang w:val="ro-RO"/>
        </w:rPr>
        <w:t xml:space="preserve"> țări solicită exclusiv semnături, fără a cere vreun depozit, cum este și c</w:t>
      </w:r>
      <w:r w:rsidR="00E511DB">
        <w:rPr>
          <w:rFonts w:ascii="Times New Roman" w:hAnsi="Times New Roman" w:cs="Times New Roman"/>
          <w:sz w:val="24"/>
          <w:szCs w:val="24"/>
          <w:lang w:val="ro-RO"/>
        </w:rPr>
        <w:t>azul României; iar un număr de 6</w:t>
      </w:r>
      <w:r w:rsidR="00A5561F" w:rsidRPr="005B0FD8">
        <w:rPr>
          <w:rFonts w:ascii="Times New Roman" w:hAnsi="Times New Roman" w:cs="Times New Roman"/>
          <w:sz w:val="24"/>
          <w:szCs w:val="24"/>
          <w:lang w:val="ro-RO"/>
        </w:rPr>
        <w:t xml:space="preserve"> țări solicită exclusiv depozit</w:t>
      </w:r>
      <w:r w:rsidR="009F4264">
        <w:rPr>
          <w:rFonts w:ascii="Times New Roman" w:hAnsi="Times New Roman" w:cs="Times New Roman"/>
          <w:sz w:val="24"/>
          <w:szCs w:val="24"/>
          <w:lang w:val="ro-RO"/>
        </w:rPr>
        <w:t xml:space="preserve"> în bani </w:t>
      </w:r>
      <w:r w:rsidR="00A5561F" w:rsidRPr="005B0FD8">
        <w:rPr>
          <w:rFonts w:ascii="Times New Roman" w:hAnsi="Times New Roman" w:cs="Times New Roman"/>
          <w:sz w:val="24"/>
          <w:szCs w:val="24"/>
          <w:lang w:val="ro-RO"/>
        </w:rPr>
        <w:t>, cum sunt Cehia, Cipru, Grec</w:t>
      </w:r>
      <w:r w:rsidR="00167F45">
        <w:rPr>
          <w:rFonts w:ascii="Times New Roman" w:hAnsi="Times New Roman" w:cs="Times New Roman"/>
          <w:sz w:val="24"/>
          <w:szCs w:val="24"/>
          <w:lang w:val="ro-RO"/>
        </w:rPr>
        <w:t>ia și Franța (vezi Tabel 1)</w:t>
      </w:r>
      <w:r w:rsidR="002D050B">
        <w:rPr>
          <w:rFonts w:ascii="Times New Roman" w:hAnsi="Times New Roman" w:cs="Times New Roman"/>
          <w:sz w:val="24"/>
          <w:szCs w:val="24"/>
          <w:lang w:val="ro-RO"/>
        </w:rPr>
        <w:t>.</w:t>
      </w:r>
      <w:r w:rsidR="00A5561F" w:rsidRPr="005B0FD8">
        <w:rPr>
          <w:rFonts w:ascii="Times New Roman" w:hAnsi="Times New Roman" w:cs="Times New Roman"/>
          <w:sz w:val="24"/>
          <w:szCs w:val="24"/>
          <w:lang w:val="ro-RO"/>
        </w:rPr>
        <w:t xml:space="preserve"> </w:t>
      </w:r>
      <w:r w:rsidR="004E7490" w:rsidRPr="005B0FD8">
        <w:rPr>
          <w:rFonts w:ascii="Times New Roman" w:hAnsi="Times New Roman" w:cs="Times New Roman"/>
          <w:sz w:val="24"/>
          <w:szCs w:val="24"/>
          <w:lang w:val="ro-RO"/>
        </w:rPr>
        <w:t>Pentru d</w:t>
      </w:r>
      <w:r w:rsidR="00D90865" w:rsidRPr="005B0FD8">
        <w:rPr>
          <w:rFonts w:ascii="Times New Roman" w:hAnsi="Times New Roman" w:cs="Times New Roman"/>
          <w:sz w:val="24"/>
          <w:szCs w:val="24"/>
          <w:lang w:val="ro-RO"/>
        </w:rPr>
        <w:t>escurajarea candidaților nesemnificativi</w:t>
      </w:r>
      <w:r w:rsidR="002D050B">
        <w:rPr>
          <w:rFonts w:ascii="Times New Roman" w:hAnsi="Times New Roman" w:cs="Times New Roman"/>
          <w:sz w:val="24"/>
          <w:szCs w:val="24"/>
          <w:lang w:val="ro-RO"/>
        </w:rPr>
        <w:t>,</w:t>
      </w:r>
      <w:r w:rsidR="004E7490" w:rsidRPr="005B0FD8">
        <w:rPr>
          <w:rFonts w:ascii="Times New Roman" w:hAnsi="Times New Roman" w:cs="Times New Roman"/>
          <w:sz w:val="24"/>
          <w:szCs w:val="24"/>
          <w:lang w:val="ro-RO"/>
        </w:rPr>
        <w:t xml:space="preserve"> se utilizează praguri constând în semnături sau în depozite de bani sau amândouă. Un </w:t>
      </w:r>
      <w:r w:rsidR="006035B8" w:rsidRPr="005B0FD8">
        <w:rPr>
          <w:rFonts w:ascii="Times New Roman" w:hAnsi="Times New Roman" w:cs="Times New Roman"/>
          <w:sz w:val="24"/>
          <w:szCs w:val="24"/>
          <w:lang w:val="ro-RO"/>
        </w:rPr>
        <w:t>număr de 8</w:t>
      </w:r>
      <w:r w:rsidR="004E7490" w:rsidRPr="005B0FD8">
        <w:rPr>
          <w:rFonts w:ascii="Times New Roman" w:hAnsi="Times New Roman" w:cs="Times New Roman"/>
          <w:sz w:val="24"/>
          <w:szCs w:val="24"/>
          <w:lang w:val="ro-RO"/>
        </w:rPr>
        <w:t xml:space="preserve"> țări preferă să aplice atât depozit în bani cât și </w:t>
      </w:r>
      <w:r w:rsidR="006035B8" w:rsidRPr="005B0FD8">
        <w:rPr>
          <w:rFonts w:ascii="Times New Roman" w:hAnsi="Times New Roman" w:cs="Times New Roman"/>
          <w:sz w:val="24"/>
          <w:szCs w:val="24"/>
          <w:lang w:val="ro-RO"/>
        </w:rPr>
        <w:t>semnături, acestea fiind Austria, Bulgaria, Estonia, Letonia, Lituania, Malta, Olanda și Slovacia, iar</w:t>
      </w:r>
      <w:r w:rsidR="00A364B5" w:rsidRPr="005B0FD8">
        <w:rPr>
          <w:rFonts w:ascii="Times New Roman" w:hAnsi="Times New Roman" w:cs="Times New Roman"/>
          <w:sz w:val="24"/>
          <w:szCs w:val="24"/>
          <w:lang w:val="ro-RO"/>
        </w:rPr>
        <w:t>,</w:t>
      </w:r>
      <w:r w:rsidR="006035B8" w:rsidRPr="005B0FD8">
        <w:rPr>
          <w:rFonts w:ascii="Times New Roman" w:hAnsi="Times New Roman" w:cs="Times New Roman"/>
          <w:sz w:val="24"/>
          <w:szCs w:val="24"/>
          <w:lang w:val="ro-RO"/>
        </w:rPr>
        <w:t xml:space="preserve"> dintre acestea</w:t>
      </w:r>
      <w:r w:rsidR="00A364B5" w:rsidRPr="005B0FD8">
        <w:rPr>
          <w:rFonts w:ascii="Times New Roman" w:hAnsi="Times New Roman" w:cs="Times New Roman"/>
          <w:sz w:val="24"/>
          <w:szCs w:val="24"/>
          <w:lang w:val="ro-RO"/>
        </w:rPr>
        <w:t>,</w:t>
      </w:r>
      <w:r w:rsidR="006035B8" w:rsidRPr="005B0FD8">
        <w:rPr>
          <w:rFonts w:ascii="Times New Roman" w:hAnsi="Times New Roman" w:cs="Times New Roman"/>
          <w:sz w:val="24"/>
          <w:szCs w:val="24"/>
          <w:lang w:val="ro-RO"/>
        </w:rPr>
        <w:t xml:space="preserve"> țara cu condițiile cele mai drastice de înscriere este Slovacia cu 17,000 de euro depozit și 10,300 de semnături</w:t>
      </w:r>
      <w:r w:rsidR="006E2369" w:rsidRPr="005B0FD8">
        <w:rPr>
          <w:rFonts w:ascii="Times New Roman" w:hAnsi="Times New Roman" w:cs="Times New Roman"/>
          <w:sz w:val="24"/>
          <w:szCs w:val="24"/>
          <w:lang w:val="ro-RO"/>
        </w:rPr>
        <w:t>, iar la polul opos cu cele mai facile condiții din această grupă de țări este Malta cu 1,080 de euro depozit și 48 de semnături</w:t>
      </w:r>
      <w:r w:rsidR="006035B8" w:rsidRPr="005B0FD8">
        <w:rPr>
          <w:rFonts w:ascii="Times New Roman" w:hAnsi="Times New Roman" w:cs="Times New Roman"/>
          <w:sz w:val="24"/>
          <w:szCs w:val="24"/>
          <w:lang w:val="ro-RO"/>
        </w:rPr>
        <w:t xml:space="preserve">. </w:t>
      </w:r>
      <w:r w:rsidR="00A364B5" w:rsidRPr="005B0FD8">
        <w:rPr>
          <w:rFonts w:ascii="Times New Roman" w:hAnsi="Times New Roman" w:cs="Times New Roman"/>
          <w:sz w:val="24"/>
          <w:szCs w:val="24"/>
          <w:lang w:val="ro-RO"/>
        </w:rPr>
        <w:t>Dintre țările care aplică doar un prag constând în semnături, Luxemburg și Croația cer 250, respectiv 100 de semnturi. Cu toate că, la prima vedere, Croația cere mai puține</w:t>
      </w:r>
      <w:r w:rsidR="00DD2CAA">
        <w:rPr>
          <w:rFonts w:ascii="Times New Roman" w:hAnsi="Times New Roman" w:cs="Times New Roman"/>
          <w:sz w:val="24"/>
          <w:szCs w:val="24"/>
          <w:lang w:val="ro-RO"/>
        </w:rPr>
        <w:t>,</w:t>
      </w:r>
      <w:r w:rsidR="00A364B5" w:rsidRPr="005B0FD8">
        <w:rPr>
          <w:rFonts w:ascii="Times New Roman" w:hAnsi="Times New Roman" w:cs="Times New Roman"/>
          <w:sz w:val="24"/>
          <w:szCs w:val="24"/>
          <w:lang w:val="ro-RO"/>
        </w:rPr>
        <w:t xml:space="preserve"> în realitate</w:t>
      </w:r>
      <w:r w:rsidR="00DD2CAA">
        <w:rPr>
          <w:rFonts w:ascii="Times New Roman" w:hAnsi="Times New Roman" w:cs="Times New Roman"/>
          <w:sz w:val="24"/>
          <w:szCs w:val="24"/>
          <w:lang w:val="ro-RO"/>
        </w:rPr>
        <w:t>,</w:t>
      </w:r>
      <w:r w:rsidR="00A364B5" w:rsidRPr="005B0FD8">
        <w:rPr>
          <w:rFonts w:ascii="Times New Roman" w:hAnsi="Times New Roman" w:cs="Times New Roman"/>
          <w:sz w:val="24"/>
          <w:szCs w:val="24"/>
          <w:lang w:val="ro-RO"/>
        </w:rPr>
        <w:t xml:space="preserve"> condițiile sunt mai facile în Luxemburg deoarece se solicită 250 de semnături de susținere a unei candidaturi la alegerile europarlamentare, în vreme ce semnăturile solicitate în Croația constau în număr de membri fondatori necesari pentru în</w:t>
      </w:r>
      <w:r w:rsidR="00B56E15" w:rsidRPr="005B0FD8">
        <w:rPr>
          <w:rFonts w:ascii="Times New Roman" w:hAnsi="Times New Roman" w:cs="Times New Roman"/>
          <w:sz w:val="24"/>
          <w:szCs w:val="24"/>
          <w:lang w:val="ro-RO"/>
        </w:rPr>
        <w:t>registrarea unui par</w:t>
      </w:r>
      <w:r w:rsidR="00DD2CAA">
        <w:rPr>
          <w:rFonts w:ascii="Times New Roman" w:hAnsi="Times New Roman" w:cs="Times New Roman"/>
          <w:sz w:val="24"/>
          <w:szCs w:val="24"/>
          <w:lang w:val="ro-RO"/>
        </w:rPr>
        <w:t xml:space="preserve">tid politic și este mai ușor </w:t>
      </w:r>
      <w:r w:rsidR="00B56E15" w:rsidRPr="005B0FD8">
        <w:rPr>
          <w:rFonts w:ascii="Times New Roman" w:hAnsi="Times New Roman" w:cs="Times New Roman"/>
          <w:sz w:val="24"/>
          <w:szCs w:val="24"/>
          <w:lang w:val="ro-RO"/>
        </w:rPr>
        <w:t>a convinge 250 de cetățeni să susțină o candidatură temporară decât 100 să se î</w:t>
      </w:r>
      <w:r w:rsidR="00363FA8" w:rsidRPr="005B0FD8">
        <w:rPr>
          <w:rFonts w:ascii="Times New Roman" w:hAnsi="Times New Roman" w:cs="Times New Roman"/>
          <w:sz w:val="24"/>
          <w:szCs w:val="24"/>
          <w:lang w:val="ro-RO"/>
        </w:rPr>
        <w:t xml:space="preserve">nroleze într-un partid politic. </w:t>
      </w:r>
    </w:p>
    <w:p w:rsidR="00363FA8" w:rsidRPr="005B0FD8" w:rsidRDefault="00363FA8" w:rsidP="00AE579F">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 xml:space="preserve">Dintre țările care solicită doar depozit în euro, Cehia se evidențiază față de restul care solicită mii de euro fiecare, cu doar 585 de euro depozit. </w:t>
      </w:r>
      <w:r w:rsidR="006E2369" w:rsidRPr="005B0FD8">
        <w:rPr>
          <w:rFonts w:ascii="Times New Roman" w:hAnsi="Times New Roman" w:cs="Times New Roman"/>
          <w:sz w:val="24"/>
          <w:szCs w:val="24"/>
          <w:lang w:val="ro-RO"/>
        </w:rPr>
        <w:t xml:space="preserve">Dintre cele trei grupe, țările care au cele mai facile condiții de acces la competiția electorală sunt Malta (1,080 de euro depozit și 48 de semnături), </w:t>
      </w:r>
      <w:r w:rsidRPr="005B0FD8">
        <w:rPr>
          <w:rFonts w:ascii="Times New Roman" w:hAnsi="Times New Roman" w:cs="Times New Roman"/>
          <w:sz w:val="24"/>
          <w:szCs w:val="24"/>
          <w:lang w:val="ro-RO"/>
        </w:rPr>
        <w:t>Luxemburg</w:t>
      </w:r>
      <w:r w:rsidR="006E2369" w:rsidRPr="005B0FD8">
        <w:rPr>
          <w:rFonts w:ascii="Times New Roman" w:hAnsi="Times New Roman" w:cs="Times New Roman"/>
          <w:sz w:val="24"/>
          <w:szCs w:val="24"/>
          <w:lang w:val="ro-RO"/>
        </w:rPr>
        <w:t xml:space="preserve"> (</w:t>
      </w:r>
      <w:r w:rsidRPr="005B0FD8">
        <w:rPr>
          <w:rFonts w:ascii="Times New Roman" w:hAnsi="Times New Roman" w:cs="Times New Roman"/>
          <w:sz w:val="24"/>
          <w:szCs w:val="24"/>
          <w:lang w:val="ro-RO"/>
        </w:rPr>
        <w:t>250 semnături</w:t>
      </w:r>
      <w:r w:rsidR="006E2369" w:rsidRPr="005B0FD8">
        <w:rPr>
          <w:rFonts w:ascii="Times New Roman" w:hAnsi="Times New Roman" w:cs="Times New Roman"/>
          <w:sz w:val="24"/>
          <w:szCs w:val="24"/>
          <w:lang w:val="ro-RO"/>
        </w:rPr>
        <w:t xml:space="preserve">) și </w:t>
      </w:r>
      <w:r w:rsidRPr="005B0FD8">
        <w:rPr>
          <w:rFonts w:ascii="Times New Roman" w:hAnsi="Times New Roman" w:cs="Times New Roman"/>
          <w:sz w:val="24"/>
          <w:szCs w:val="24"/>
          <w:lang w:val="ro-RO"/>
        </w:rPr>
        <w:t xml:space="preserve">Cehia </w:t>
      </w:r>
      <w:r w:rsidR="006E2369" w:rsidRPr="005B0FD8">
        <w:rPr>
          <w:rFonts w:ascii="Times New Roman" w:hAnsi="Times New Roman" w:cs="Times New Roman"/>
          <w:sz w:val="24"/>
          <w:szCs w:val="24"/>
          <w:lang w:val="ro-RO"/>
        </w:rPr>
        <w:t>(</w:t>
      </w:r>
      <w:r w:rsidRPr="005B0FD8">
        <w:rPr>
          <w:rFonts w:ascii="Times New Roman" w:hAnsi="Times New Roman" w:cs="Times New Roman"/>
          <w:sz w:val="24"/>
          <w:szCs w:val="24"/>
          <w:lang w:val="ro-RO"/>
        </w:rPr>
        <w:t xml:space="preserve">585 </w:t>
      </w:r>
      <w:r w:rsidR="00DD2CAA">
        <w:rPr>
          <w:rFonts w:ascii="Times New Roman" w:hAnsi="Times New Roman" w:cs="Times New Roman"/>
          <w:sz w:val="24"/>
          <w:szCs w:val="24"/>
          <w:lang w:val="ro-RO"/>
        </w:rPr>
        <w:t>de euro). Astfel, Luxemburg ș</w:t>
      </w:r>
      <w:r w:rsidR="006E2369" w:rsidRPr="005B0FD8">
        <w:rPr>
          <w:rFonts w:ascii="Times New Roman" w:hAnsi="Times New Roman" w:cs="Times New Roman"/>
          <w:sz w:val="24"/>
          <w:szCs w:val="24"/>
          <w:lang w:val="ro-RO"/>
        </w:rPr>
        <w:t>i Cehia par să își dispute primul loc în clasament cu cel mai facil acc</w:t>
      </w:r>
      <w:r w:rsidR="007140C8" w:rsidRPr="005B0FD8">
        <w:rPr>
          <w:rFonts w:ascii="Times New Roman" w:hAnsi="Times New Roman" w:cs="Times New Roman"/>
          <w:sz w:val="24"/>
          <w:szCs w:val="24"/>
          <w:lang w:val="ro-RO"/>
        </w:rPr>
        <w:t>es la buletinul de vot, fiind</w:t>
      </w:r>
      <w:r w:rsidR="006E2369" w:rsidRPr="005B0FD8">
        <w:rPr>
          <w:rFonts w:ascii="Times New Roman" w:hAnsi="Times New Roman" w:cs="Times New Roman"/>
          <w:sz w:val="24"/>
          <w:szCs w:val="24"/>
          <w:lang w:val="ro-RO"/>
        </w:rPr>
        <w:t xml:space="preserve"> este greu de decis care dintre praguri este mai ușor, 5</w:t>
      </w:r>
      <w:r w:rsidR="007140C8" w:rsidRPr="005B0FD8">
        <w:rPr>
          <w:rFonts w:ascii="Times New Roman" w:hAnsi="Times New Roman" w:cs="Times New Roman"/>
          <w:sz w:val="24"/>
          <w:szCs w:val="24"/>
          <w:lang w:val="ro-RO"/>
        </w:rPr>
        <w:t>85 de euro sau 250 de semn</w:t>
      </w:r>
      <w:r w:rsidR="00117DC1" w:rsidRPr="005B0FD8">
        <w:rPr>
          <w:rFonts w:ascii="Times New Roman" w:hAnsi="Times New Roman" w:cs="Times New Roman"/>
          <w:sz w:val="24"/>
          <w:szCs w:val="24"/>
          <w:lang w:val="ro-RO"/>
        </w:rPr>
        <w:t>ă</w:t>
      </w:r>
      <w:r w:rsidR="007140C8" w:rsidRPr="005B0FD8">
        <w:rPr>
          <w:rFonts w:ascii="Times New Roman" w:hAnsi="Times New Roman" w:cs="Times New Roman"/>
          <w:sz w:val="24"/>
          <w:szCs w:val="24"/>
          <w:lang w:val="ro-RO"/>
        </w:rPr>
        <w:t xml:space="preserve">turi, deoarece 585 de euro ar putea reprezenta costul strângerii a 250 de semnături. </w:t>
      </w:r>
      <w:r w:rsidR="00117DC1" w:rsidRPr="005B0FD8">
        <w:rPr>
          <w:rFonts w:ascii="Times New Roman" w:hAnsi="Times New Roman" w:cs="Times New Roman"/>
          <w:sz w:val="24"/>
          <w:szCs w:val="24"/>
          <w:lang w:val="ro-RO"/>
        </w:rPr>
        <w:t>Cehia și Luxemburg își dispută locul întâi pentru cele mai accesibile drepturi electorale în condițiile în care nu se ia în considerare Suedia, care, așa cum am precizat anterior, dă posibilitatea partidelor</w:t>
      </w:r>
      <w:r w:rsidR="0078340C" w:rsidRPr="005B0FD8">
        <w:rPr>
          <w:rFonts w:ascii="Times New Roman" w:hAnsi="Times New Roman" w:cs="Times New Roman"/>
          <w:sz w:val="24"/>
          <w:szCs w:val="24"/>
          <w:lang w:val="ro-RO"/>
        </w:rPr>
        <w:t xml:space="preserve"> însă neînregistrate</w:t>
      </w:r>
      <w:r w:rsidR="00117DC1" w:rsidRPr="005B0FD8">
        <w:rPr>
          <w:rFonts w:ascii="Times New Roman" w:hAnsi="Times New Roman" w:cs="Times New Roman"/>
          <w:sz w:val="24"/>
          <w:szCs w:val="24"/>
          <w:lang w:val="ro-RO"/>
        </w:rPr>
        <w:t xml:space="preserve"> să participe la alegeri fără a li se impune vreo condiție, nici de ordin financiar</w:t>
      </w:r>
      <w:r w:rsidR="00AC34B7" w:rsidRPr="005B0FD8">
        <w:rPr>
          <w:rFonts w:ascii="Times New Roman" w:hAnsi="Times New Roman" w:cs="Times New Roman"/>
          <w:sz w:val="24"/>
          <w:szCs w:val="24"/>
          <w:lang w:val="ro-RO"/>
        </w:rPr>
        <w:t xml:space="preserve"> și nici constând în semnături de susținere. </w:t>
      </w:r>
      <w:r w:rsidR="002E27DE" w:rsidRPr="005B0FD8">
        <w:rPr>
          <w:rFonts w:ascii="Times New Roman" w:hAnsi="Times New Roman" w:cs="Times New Roman"/>
          <w:sz w:val="24"/>
          <w:szCs w:val="24"/>
          <w:lang w:val="ro-RO"/>
        </w:rPr>
        <w:t xml:space="preserve">Dacă luăm în considerare Suedia pentru partide neînregistrate atunci aceasta este țara cu cel facil acces la înscrierea pe buletinul de vot a unui partid politic. </w:t>
      </w:r>
    </w:p>
    <w:p w:rsidR="0036082A" w:rsidRPr="001436DD" w:rsidRDefault="007140C8" w:rsidP="00727FCA">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Dintre țările c</w:t>
      </w:r>
      <w:r w:rsidR="007A782F" w:rsidRPr="005B0FD8">
        <w:rPr>
          <w:rFonts w:ascii="Times New Roman" w:hAnsi="Times New Roman" w:cs="Times New Roman"/>
          <w:sz w:val="24"/>
          <w:szCs w:val="24"/>
          <w:lang w:val="ro-RO"/>
        </w:rPr>
        <w:t xml:space="preserve">are aplică doar condiții constând în semnături, </w:t>
      </w:r>
      <w:r w:rsidRPr="005B0FD8">
        <w:rPr>
          <w:rFonts w:ascii="Times New Roman" w:hAnsi="Times New Roman" w:cs="Times New Roman"/>
          <w:sz w:val="24"/>
          <w:szCs w:val="24"/>
          <w:lang w:val="ro-RO"/>
        </w:rPr>
        <w:t>România aplică cele mai drastice condiții, cu 200</w:t>
      </w:r>
      <w:r w:rsidR="007A782F" w:rsidRPr="005B0FD8">
        <w:rPr>
          <w:rFonts w:ascii="Times New Roman" w:hAnsi="Times New Roman" w:cs="Times New Roman"/>
          <w:sz w:val="24"/>
          <w:szCs w:val="24"/>
          <w:lang w:val="ro-RO"/>
        </w:rPr>
        <w:t xml:space="preserve">,000 de semnături de susținere, iar dintre țările care aplică doar depozite în bani Franța cere cel mai mare depozit de 9,200 de euro. </w:t>
      </w:r>
      <w:r w:rsidR="00BE1125" w:rsidRPr="005B0FD8">
        <w:rPr>
          <w:rFonts w:ascii="Times New Roman" w:hAnsi="Times New Roman" w:cs="Times New Roman"/>
          <w:sz w:val="24"/>
          <w:szCs w:val="24"/>
          <w:lang w:val="ro-RO"/>
        </w:rPr>
        <w:t>Rezumând</w:t>
      </w:r>
      <w:r w:rsidR="00311249" w:rsidRPr="005B0FD8">
        <w:rPr>
          <w:rFonts w:ascii="Times New Roman" w:hAnsi="Times New Roman" w:cs="Times New Roman"/>
          <w:sz w:val="24"/>
          <w:szCs w:val="24"/>
          <w:lang w:val="ro-RO"/>
        </w:rPr>
        <w:t>, clasamentul țărilor cu cele mai drastice condiții de înscriere în cursa electorală se dispută între România care solicită 200,000 de semnături și Slovacia care cere 17,000 de euro și 10,300 de semnături, din</w:t>
      </w:r>
      <w:r w:rsidR="000A70DC" w:rsidRPr="005B0FD8">
        <w:rPr>
          <w:rFonts w:ascii="Times New Roman" w:hAnsi="Times New Roman" w:cs="Times New Roman"/>
          <w:sz w:val="24"/>
          <w:szCs w:val="24"/>
          <w:lang w:val="ro-RO"/>
        </w:rPr>
        <w:t>tre</w:t>
      </w:r>
      <w:r w:rsidR="00311249" w:rsidRPr="005B0FD8">
        <w:rPr>
          <w:rFonts w:ascii="Times New Roman" w:hAnsi="Times New Roman" w:cs="Times New Roman"/>
          <w:sz w:val="24"/>
          <w:szCs w:val="24"/>
          <w:lang w:val="ro-RO"/>
        </w:rPr>
        <w:t xml:space="preserve"> care 10,000 </w:t>
      </w:r>
      <w:r w:rsidR="00E670C6" w:rsidRPr="005B0FD8">
        <w:rPr>
          <w:rFonts w:ascii="Times New Roman" w:hAnsi="Times New Roman" w:cs="Times New Roman"/>
          <w:sz w:val="24"/>
          <w:szCs w:val="24"/>
          <w:lang w:val="ro-RO"/>
        </w:rPr>
        <w:t xml:space="preserve">de semnături </w:t>
      </w:r>
      <w:r w:rsidR="00311249" w:rsidRPr="005B0FD8">
        <w:rPr>
          <w:rFonts w:ascii="Times New Roman" w:hAnsi="Times New Roman" w:cs="Times New Roman"/>
          <w:sz w:val="24"/>
          <w:szCs w:val="24"/>
          <w:lang w:val="ro-RO"/>
        </w:rPr>
        <w:t>de susțin</w:t>
      </w:r>
      <w:r w:rsidR="000A70DC" w:rsidRPr="005B0FD8">
        <w:rPr>
          <w:rFonts w:ascii="Times New Roman" w:hAnsi="Times New Roman" w:cs="Times New Roman"/>
          <w:sz w:val="24"/>
          <w:szCs w:val="24"/>
          <w:lang w:val="ro-RO"/>
        </w:rPr>
        <w:t>ere și 300 de membri fondatori. Și în acest caz este greu de spus ce este mai greu pentru un partid politic să strângă 200,000 de semnături</w:t>
      </w:r>
      <w:r w:rsidR="00F554E4" w:rsidRPr="005B0FD8">
        <w:rPr>
          <w:rFonts w:ascii="Times New Roman" w:hAnsi="Times New Roman" w:cs="Times New Roman"/>
          <w:sz w:val="24"/>
          <w:szCs w:val="24"/>
          <w:lang w:val="ro-RO"/>
        </w:rPr>
        <w:t xml:space="preserve"> sau să achite 17,000 de euro și să colecteze 10,000 de semnături și </w:t>
      </w:r>
      <w:r w:rsidR="001A49F7" w:rsidRPr="005B0FD8">
        <w:rPr>
          <w:rFonts w:ascii="Times New Roman" w:hAnsi="Times New Roman" w:cs="Times New Roman"/>
          <w:sz w:val="24"/>
          <w:szCs w:val="24"/>
          <w:lang w:val="ro-RO"/>
        </w:rPr>
        <w:t>să cumuleze 300 de membri (nu cu necesitate fondatori), este greu de decis deoarece cei 10,000 de semn</w:t>
      </w:r>
      <w:r w:rsidR="00DD2CAA">
        <w:rPr>
          <w:rFonts w:ascii="Times New Roman" w:hAnsi="Times New Roman" w:cs="Times New Roman"/>
          <w:sz w:val="24"/>
          <w:szCs w:val="24"/>
          <w:lang w:val="ro-RO"/>
        </w:rPr>
        <w:t xml:space="preserve">ături de susținere sunt necesar de colectat </w:t>
      </w:r>
      <w:r w:rsidR="001A49F7" w:rsidRPr="005B0FD8">
        <w:rPr>
          <w:rFonts w:ascii="Times New Roman" w:hAnsi="Times New Roman" w:cs="Times New Roman"/>
          <w:sz w:val="24"/>
          <w:szCs w:val="24"/>
          <w:lang w:val="ro-RO"/>
        </w:rPr>
        <w:t>doar o dată</w:t>
      </w:r>
      <w:r w:rsidR="00DD2CAA">
        <w:rPr>
          <w:rFonts w:ascii="Times New Roman" w:hAnsi="Times New Roman" w:cs="Times New Roman"/>
          <w:sz w:val="24"/>
          <w:szCs w:val="24"/>
          <w:lang w:val="ro-RO"/>
        </w:rPr>
        <w:t>,</w:t>
      </w:r>
      <w:r w:rsidR="001A49F7" w:rsidRPr="005B0FD8">
        <w:rPr>
          <w:rFonts w:ascii="Times New Roman" w:hAnsi="Times New Roman" w:cs="Times New Roman"/>
          <w:sz w:val="24"/>
          <w:szCs w:val="24"/>
          <w:lang w:val="ro-RO"/>
        </w:rPr>
        <w:t xml:space="preserve"> la înregistrarea unui partid politic, </w:t>
      </w:r>
      <w:r w:rsidR="00DD2CAA">
        <w:rPr>
          <w:rFonts w:ascii="Times New Roman" w:hAnsi="Times New Roman" w:cs="Times New Roman"/>
          <w:sz w:val="24"/>
          <w:szCs w:val="24"/>
          <w:lang w:val="ro-RO"/>
        </w:rPr>
        <w:t xml:space="preserve">iar cei 300 de membri nu se cer a fi cu necesitate </w:t>
      </w:r>
      <w:r w:rsidR="001A49F7" w:rsidRPr="005B0FD8">
        <w:rPr>
          <w:rFonts w:ascii="Times New Roman" w:hAnsi="Times New Roman" w:cs="Times New Roman"/>
          <w:sz w:val="24"/>
          <w:szCs w:val="24"/>
          <w:lang w:val="ro-RO"/>
        </w:rPr>
        <w:t xml:space="preserve">fondatori. </w:t>
      </w:r>
      <w:r w:rsidR="00C3067B" w:rsidRPr="005B0FD8">
        <w:rPr>
          <w:rFonts w:ascii="Times New Roman" w:hAnsi="Times New Roman" w:cs="Times New Roman"/>
          <w:sz w:val="24"/>
          <w:szCs w:val="24"/>
          <w:lang w:val="ro-RO"/>
        </w:rPr>
        <w:t>Astfel, condiția care se cere cu recurență în Slovacia este de 17,000 de euro, iar în România de 200,000 de semnături. Un partid politic, în România, este obligat să strângă aceste semnături de susținere</w:t>
      </w:r>
      <w:r w:rsidR="003E1D0E" w:rsidRPr="005B0FD8">
        <w:rPr>
          <w:rFonts w:ascii="Times New Roman" w:hAnsi="Times New Roman" w:cs="Times New Roman"/>
          <w:sz w:val="24"/>
          <w:szCs w:val="24"/>
          <w:lang w:val="ro-RO"/>
        </w:rPr>
        <w:t xml:space="preserve"> pentru fiecare înscriere la alegeri. </w:t>
      </w:r>
      <w:r w:rsidR="0030444B" w:rsidRPr="005B0FD8">
        <w:rPr>
          <w:rFonts w:ascii="Times New Roman" w:hAnsi="Times New Roman" w:cs="Times New Roman"/>
          <w:sz w:val="24"/>
          <w:szCs w:val="24"/>
          <w:lang w:val="ro-RO"/>
        </w:rPr>
        <w:t>O observație importantă este faptul că România nu este singura țară care solicită un număr mare de semnătu</w:t>
      </w:r>
      <w:r w:rsidR="00E63AFB" w:rsidRPr="005B0FD8">
        <w:rPr>
          <w:rFonts w:ascii="Times New Roman" w:hAnsi="Times New Roman" w:cs="Times New Roman"/>
          <w:sz w:val="24"/>
          <w:szCs w:val="24"/>
          <w:lang w:val="ro-RO"/>
        </w:rPr>
        <w:t>ri, Danemarca și Italia practică condiții similare.</w:t>
      </w:r>
      <w:r w:rsidR="00DD2CAA">
        <w:rPr>
          <w:rFonts w:ascii="Times New Roman" w:hAnsi="Times New Roman" w:cs="Times New Roman"/>
          <w:sz w:val="24"/>
          <w:szCs w:val="24"/>
          <w:lang w:val="ro-RO"/>
        </w:rPr>
        <w:t xml:space="preserve"> Însă situația poate fi nuanțată dacă ne uităm la mărimea populației</w:t>
      </w:r>
      <w:r w:rsidR="00727FCA">
        <w:rPr>
          <w:rFonts w:ascii="Times New Roman" w:hAnsi="Times New Roman" w:cs="Times New Roman"/>
          <w:sz w:val="24"/>
          <w:szCs w:val="24"/>
          <w:lang w:val="ro-RO"/>
        </w:rPr>
        <w:t xml:space="preserve">. Populaía </w:t>
      </w:r>
      <w:r w:rsidR="00727FCA" w:rsidRPr="001436DD">
        <w:rPr>
          <w:rFonts w:ascii="Times New Roman" w:hAnsi="Times New Roman" w:cs="Times New Roman"/>
          <w:sz w:val="24"/>
          <w:szCs w:val="24"/>
          <w:lang w:val="ro-RO"/>
        </w:rPr>
        <w:t xml:space="preserve">Italiei cu drept de vot este de </w:t>
      </w:r>
      <w:r w:rsidR="00727FCA" w:rsidRPr="001436DD">
        <w:rPr>
          <w:rFonts w:ascii="Times New Roman" w:hAnsi="Times New Roman" w:cs="Times New Roman"/>
          <w:sz w:val="24"/>
          <w:szCs w:val="24"/>
          <w:shd w:val="clear" w:color="auto" w:fill="FFFFFF"/>
        </w:rPr>
        <w:t>52,037,314</w:t>
      </w:r>
      <w:r w:rsidR="00863EF7" w:rsidRPr="001436DD">
        <w:rPr>
          <w:rFonts w:ascii="Times New Roman" w:hAnsi="Times New Roman" w:cs="Times New Roman"/>
          <w:sz w:val="24"/>
          <w:szCs w:val="24"/>
          <w:shd w:val="clear" w:color="auto" w:fill="FFFFFF"/>
        </w:rPr>
        <w:t xml:space="preserve"> , iar 43</w:t>
      </w:r>
      <w:r w:rsidR="00727FCA" w:rsidRPr="001436DD">
        <w:rPr>
          <w:rFonts w:ascii="Times New Roman" w:hAnsi="Times New Roman" w:cs="Times New Roman"/>
          <w:sz w:val="24"/>
          <w:szCs w:val="24"/>
          <w:shd w:val="clear" w:color="auto" w:fill="FFFFFF"/>
        </w:rPr>
        <w:t>,000 de</w:t>
      </w:r>
      <w:r w:rsidR="002A132F" w:rsidRPr="001436DD">
        <w:rPr>
          <w:rFonts w:ascii="Times New Roman" w:hAnsi="Times New Roman" w:cs="Times New Roman"/>
          <w:sz w:val="24"/>
          <w:szCs w:val="24"/>
          <w:lang w:val="ro-RO"/>
        </w:rPr>
        <w:t xml:space="preserve"> </w:t>
      </w:r>
      <w:r w:rsidR="00727FCA" w:rsidRPr="001436DD">
        <w:rPr>
          <w:rFonts w:ascii="Times New Roman" w:hAnsi="Times New Roman" w:cs="Times New Roman"/>
          <w:sz w:val="24"/>
          <w:szCs w:val="24"/>
          <w:lang w:val="ro-RO"/>
        </w:rPr>
        <w:t xml:space="preserve">semnături </w:t>
      </w:r>
      <w:r w:rsidR="00863EF7" w:rsidRPr="001436DD">
        <w:rPr>
          <w:rFonts w:ascii="Times New Roman" w:hAnsi="Times New Roman" w:cs="Times New Roman"/>
          <w:sz w:val="24"/>
          <w:szCs w:val="24"/>
          <w:lang w:val="ro-RO"/>
        </w:rPr>
        <w:t>reprezintă doar 0,08</w:t>
      </w:r>
      <w:r w:rsidR="00727FCA" w:rsidRPr="001436DD">
        <w:rPr>
          <w:rFonts w:ascii="Times New Roman" w:hAnsi="Times New Roman" w:cs="Times New Roman"/>
          <w:sz w:val="24"/>
          <w:szCs w:val="24"/>
          <w:lang w:val="ro-RO"/>
        </w:rPr>
        <w:t xml:space="preserve">% din populație. </w:t>
      </w:r>
      <w:r w:rsidR="006E1B8C" w:rsidRPr="001436DD">
        <w:rPr>
          <w:rFonts w:ascii="Times New Roman" w:hAnsi="Times New Roman" w:cs="Times New Roman"/>
          <w:sz w:val="24"/>
          <w:szCs w:val="24"/>
          <w:lang w:val="ro-RO"/>
        </w:rPr>
        <w:t>În Danemarca</w:t>
      </w:r>
      <w:r w:rsidR="00A13208" w:rsidRPr="001436DD">
        <w:rPr>
          <w:rFonts w:ascii="Times New Roman" w:hAnsi="Times New Roman" w:cs="Times New Roman"/>
          <w:sz w:val="24"/>
          <w:szCs w:val="24"/>
          <w:lang w:val="ro-RO"/>
        </w:rPr>
        <w:t xml:space="preserve">, </w:t>
      </w:r>
      <w:r w:rsidR="002132A2" w:rsidRPr="001436DD">
        <w:rPr>
          <w:rFonts w:ascii="Times New Roman" w:hAnsi="Times New Roman" w:cs="Times New Roman"/>
          <w:sz w:val="24"/>
          <w:szCs w:val="24"/>
          <w:lang w:val="ro-RO"/>
        </w:rPr>
        <w:t>existau la ultimele</w:t>
      </w:r>
      <w:r w:rsidR="00EF5F67" w:rsidRPr="001436DD">
        <w:rPr>
          <w:rFonts w:ascii="Times New Roman" w:hAnsi="Times New Roman" w:cs="Times New Roman"/>
          <w:sz w:val="24"/>
          <w:szCs w:val="24"/>
          <w:lang w:val="ro-RO"/>
        </w:rPr>
        <w:t xml:space="preserve"> alegeri </w:t>
      </w:r>
      <w:r w:rsidR="003E0A07" w:rsidRPr="001436DD">
        <w:rPr>
          <w:rFonts w:ascii="Times New Roman" w:hAnsi="Times New Roman" w:cs="Times New Roman"/>
          <w:sz w:val="24"/>
          <w:szCs w:val="24"/>
          <w:lang w:val="ro-RO"/>
        </w:rPr>
        <w:t xml:space="preserve">din </w:t>
      </w:r>
      <w:r w:rsidR="00EF5F67" w:rsidRPr="001436DD">
        <w:rPr>
          <w:rFonts w:ascii="Times New Roman" w:hAnsi="Times New Roman" w:cs="Times New Roman"/>
          <w:sz w:val="24"/>
          <w:szCs w:val="24"/>
          <w:lang w:val="ro-RO"/>
        </w:rPr>
        <w:t xml:space="preserve">2015, </w:t>
      </w:r>
      <w:r w:rsidR="003C6F71" w:rsidRPr="001436DD">
        <w:rPr>
          <w:rFonts w:ascii="Times New Roman" w:hAnsi="Times New Roman" w:cs="Times New Roman"/>
          <w:sz w:val="24"/>
          <w:szCs w:val="24"/>
          <w:shd w:val="clear" w:color="auto" w:fill="FFFFFF"/>
        </w:rPr>
        <w:lastRenderedPageBreak/>
        <w:t>4,431,291</w:t>
      </w:r>
      <w:r w:rsidR="00EF5F67" w:rsidRPr="001436DD">
        <w:rPr>
          <w:rFonts w:ascii="Times New Roman" w:hAnsi="Times New Roman" w:cs="Times New Roman"/>
          <w:sz w:val="24"/>
          <w:szCs w:val="24"/>
          <w:shd w:val="clear" w:color="auto" w:fill="FFFFFF"/>
        </w:rPr>
        <w:t xml:space="preserve"> </w:t>
      </w:r>
      <w:r w:rsidR="00EF5F67" w:rsidRPr="001436DD">
        <w:rPr>
          <w:rFonts w:ascii="Times New Roman" w:hAnsi="Times New Roman" w:cs="Times New Roman"/>
          <w:sz w:val="24"/>
          <w:szCs w:val="24"/>
          <w:lang w:val="ro-RO"/>
        </w:rPr>
        <w:t>de cetățeni cu drept de vot</w:t>
      </w:r>
      <w:r w:rsidR="008F2414" w:rsidRPr="001436DD">
        <w:rPr>
          <w:rStyle w:val="FootnoteReference"/>
          <w:rFonts w:ascii="Times New Roman" w:hAnsi="Times New Roman" w:cs="Times New Roman"/>
          <w:sz w:val="24"/>
          <w:szCs w:val="24"/>
          <w:lang w:val="ro-RO"/>
        </w:rPr>
        <w:footnoteReference w:id="30"/>
      </w:r>
      <w:r w:rsidR="004978CA" w:rsidRPr="001436DD">
        <w:rPr>
          <w:rFonts w:ascii="Times New Roman" w:hAnsi="Times New Roman" w:cs="Times New Roman"/>
          <w:sz w:val="24"/>
          <w:szCs w:val="24"/>
          <w:lang w:val="ro-RO"/>
        </w:rPr>
        <w:t xml:space="preserve"> </w:t>
      </w:r>
      <w:r w:rsidR="002B369C" w:rsidRPr="001436DD">
        <w:rPr>
          <w:rFonts w:ascii="Times New Roman" w:hAnsi="Times New Roman" w:cs="Times New Roman"/>
          <w:sz w:val="24"/>
          <w:szCs w:val="24"/>
          <w:lang w:val="ro-RO"/>
        </w:rPr>
        <w:t>i</w:t>
      </w:r>
      <w:r w:rsidR="00AA2CAC" w:rsidRPr="001436DD">
        <w:rPr>
          <w:rFonts w:ascii="Times New Roman" w:hAnsi="Times New Roman" w:cs="Times New Roman"/>
          <w:sz w:val="24"/>
          <w:szCs w:val="24"/>
          <w:lang w:val="ro-RO"/>
        </w:rPr>
        <w:t>ar cei 92,5</w:t>
      </w:r>
      <w:r w:rsidR="002B369C" w:rsidRPr="001436DD">
        <w:rPr>
          <w:rFonts w:ascii="Times New Roman" w:hAnsi="Times New Roman" w:cs="Times New Roman"/>
          <w:sz w:val="24"/>
          <w:szCs w:val="24"/>
          <w:lang w:val="ro-RO"/>
        </w:rPr>
        <w:t xml:space="preserve">00 </w:t>
      </w:r>
      <w:r w:rsidR="0036082A" w:rsidRPr="001436DD">
        <w:rPr>
          <w:rFonts w:ascii="Times New Roman" w:hAnsi="Times New Roman" w:cs="Times New Roman"/>
          <w:sz w:val="24"/>
          <w:szCs w:val="24"/>
          <w:lang w:val="ro-RO"/>
        </w:rPr>
        <w:t>reprezint</w:t>
      </w:r>
      <w:r w:rsidR="00B47EB9" w:rsidRPr="001436DD">
        <w:rPr>
          <w:rFonts w:ascii="Times New Roman" w:hAnsi="Times New Roman" w:cs="Times New Roman"/>
          <w:sz w:val="24"/>
          <w:szCs w:val="24"/>
          <w:lang w:val="ro-RO"/>
        </w:rPr>
        <w:t>ă</w:t>
      </w:r>
      <w:r w:rsidR="0036082A" w:rsidRPr="001436DD">
        <w:rPr>
          <w:rFonts w:ascii="Times New Roman" w:hAnsi="Times New Roman" w:cs="Times New Roman"/>
          <w:sz w:val="24"/>
          <w:szCs w:val="24"/>
          <w:lang w:val="ro-RO"/>
        </w:rPr>
        <w:t xml:space="preserve"> nu ma</w:t>
      </w:r>
      <w:r w:rsidR="00F576F9" w:rsidRPr="001436DD">
        <w:rPr>
          <w:rFonts w:ascii="Times New Roman" w:hAnsi="Times New Roman" w:cs="Times New Roman"/>
          <w:sz w:val="24"/>
          <w:szCs w:val="24"/>
          <w:lang w:val="ro-RO"/>
        </w:rPr>
        <w:t>i puț</w:t>
      </w:r>
      <w:r w:rsidR="0036082A" w:rsidRPr="001436DD">
        <w:rPr>
          <w:rFonts w:ascii="Times New Roman" w:hAnsi="Times New Roman" w:cs="Times New Roman"/>
          <w:sz w:val="24"/>
          <w:szCs w:val="24"/>
          <w:lang w:val="ro-RO"/>
        </w:rPr>
        <w:t>in de 2,08%</w:t>
      </w:r>
      <w:r w:rsidR="00CD18CE" w:rsidRPr="001436DD">
        <w:rPr>
          <w:rFonts w:ascii="Times New Roman" w:hAnsi="Times New Roman" w:cs="Times New Roman"/>
          <w:sz w:val="24"/>
          <w:szCs w:val="24"/>
          <w:lang w:val="ro-RO"/>
        </w:rPr>
        <w:t>. Pentru Rom</w:t>
      </w:r>
      <w:r w:rsidR="000F73F6" w:rsidRPr="001436DD">
        <w:rPr>
          <w:rFonts w:ascii="Times New Roman" w:hAnsi="Times New Roman" w:cs="Times New Roman"/>
          <w:sz w:val="24"/>
          <w:szCs w:val="24"/>
          <w:lang w:val="ro-RO"/>
        </w:rPr>
        <w:t>ânia, situația rămâne neschimbată</w:t>
      </w:r>
      <w:r w:rsidR="00694D92" w:rsidRPr="001436DD">
        <w:rPr>
          <w:rFonts w:ascii="Times New Roman" w:hAnsi="Times New Roman" w:cs="Times New Roman"/>
          <w:sz w:val="24"/>
          <w:szCs w:val="24"/>
          <w:lang w:val="ro-RO"/>
        </w:rPr>
        <w:t>, aceea de 1,</w:t>
      </w:r>
      <w:r w:rsidR="0087499B" w:rsidRPr="001436DD">
        <w:rPr>
          <w:rFonts w:ascii="Times New Roman" w:hAnsi="Times New Roman" w:cs="Times New Roman"/>
          <w:sz w:val="24"/>
          <w:szCs w:val="24"/>
          <w:lang w:val="ro-RO"/>
        </w:rPr>
        <w:t>1</w:t>
      </w:r>
      <w:r w:rsidR="00694D92" w:rsidRPr="001436DD">
        <w:rPr>
          <w:rFonts w:ascii="Times New Roman" w:hAnsi="Times New Roman" w:cs="Times New Roman"/>
          <w:sz w:val="24"/>
          <w:szCs w:val="24"/>
          <w:lang w:val="ro-RO"/>
        </w:rPr>
        <w:t>%</w:t>
      </w:r>
      <w:r w:rsidR="0087499B" w:rsidRPr="001436DD">
        <w:rPr>
          <w:rFonts w:ascii="Times New Roman" w:hAnsi="Times New Roman" w:cs="Times New Roman"/>
          <w:sz w:val="24"/>
          <w:szCs w:val="24"/>
          <w:lang w:val="ro-RO"/>
        </w:rPr>
        <w:t xml:space="preserve"> aproximativ</w:t>
      </w:r>
      <w:r w:rsidR="00510AD9" w:rsidRPr="001436DD">
        <w:rPr>
          <w:rFonts w:ascii="Times New Roman" w:hAnsi="Times New Roman" w:cs="Times New Roman"/>
          <w:sz w:val="24"/>
          <w:szCs w:val="24"/>
          <w:lang w:val="ro-RO"/>
        </w:rPr>
        <w:t>,</w:t>
      </w:r>
      <w:r w:rsidR="000F73F6" w:rsidRPr="001436DD">
        <w:rPr>
          <w:rFonts w:ascii="Times New Roman" w:hAnsi="Times New Roman" w:cs="Times New Roman"/>
          <w:sz w:val="24"/>
          <w:szCs w:val="24"/>
          <w:lang w:val="ro-RO"/>
        </w:rPr>
        <w:t xml:space="preserve"> </w:t>
      </w:r>
      <w:r w:rsidR="00694D92" w:rsidRPr="001436DD">
        <w:rPr>
          <w:rFonts w:ascii="Times New Roman" w:hAnsi="Times New Roman" w:cs="Times New Roman"/>
          <w:sz w:val="24"/>
          <w:szCs w:val="24"/>
          <w:lang w:val="ro-RO"/>
        </w:rPr>
        <w:t>av</w:t>
      </w:r>
      <w:r w:rsidR="008E3796" w:rsidRPr="001436DD">
        <w:rPr>
          <w:rFonts w:ascii="Times New Roman" w:hAnsi="Times New Roman" w:cs="Times New Roman"/>
          <w:sz w:val="24"/>
          <w:szCs w:val="24"/>
          <w:lang w:val="ro-RO"/>
        </w:rPr>
        <w:t xml:space="preserve">ând în vedere numărul mic de </w:t>
      </w:r>
      <w:r w:rsidR="00DF5A61" w:rsidRPr="001436DD">
        <w:rPr>
          <w:rFonts w:ascii="Times New Roman" w:hAnsi="Times New Roman" w:cs="Times New Roman"/>
          <w:sz w:val="24"/>
          <w:szCs w:val="24"/>
          <w:lang w:val="ro-RO"/>
        </w:rPr>
        <w:t>fondatori, de doar doi.</w:t>
      </w:r>
      <w:r w:rsidR="00DF5A61" w:rsidRPr="001436DD">
        <w:rPr>
          <w:rStyle w:val="FootnoteReference"/>
          <w:rFonts w:ascii="Times New Roman" w:hAnsi="Times New Roman" w:cs="Times New Roman"/>
          <w:sz w:val="24"/>
          <w:szCs w:val="24"/>
          <w:lang w:val="ro-RO"/>
        </w:rPr>
        <w:t xml:space="preserve"> </w:t>
      </w:r>
      <w:r w:rsidR="00DF5A61" w:rsidRPr="001436DD">
        <w:rPr>
          <w:rStyle w:val="FootnoteReference"/>
          <w:rFonts w:ascii="Times New Roman" w:hAnsi="Times New Roman" w:cs="Times New Roman"/>
          <w:sz w:val="24"/>
          <w:szCs w:val="24"/>
          <w:lang w:val="ro-RO"/>
        </w:rPr>
        <w:footnoteReference w:id="31"/>
      </w:r>
    </w:p>
    <w:p w:rsidR="00A50799" w:rsidRPr="005B0FD8" w:rsidRDefault="000F219B" w:rsidP="00DF5A61">
      <w:pPr>
        <w:spacing w:after="0" w:line="240" w:lineRule="auto"/>
        <w:ind w:firstLine="720"/>
        <w:jc w:val="both"/>
        <w:rPr>
          <w:rFonts w:ascii="Times New Roman" w:hAnsi="Times New Roman" w:cs="Times New Roman"/>
          <w:sz w:val="24"/>
          <w:szCs w:val="24"/>
          <w:lang w:val="ro-RO"/>
        </w:rPr>
      </w:pPr>
      <w:r w:rsidRPr="001436DD">
        <w:rPr>
          <w:rFonts w:ascii="Times New Roman" w:hAnsi="Times New Roman" w:cs="Times New Roman"/>
          <w:sz w:val="24"/>
          <w:szCs w:val="24"/>
          <w:lang w:val="ro-RO"/>
        </w:rPr>
        <w:t xml:space="preserve">În general, toate țările din Uniunea Europeană aplică anumite condiții pentru înscrierea unui partid politic în cursa electorală, unele preferă să descurajeze candidații frivoli solicitând </w:t>
      </w:r>
      <w:r w:rsidR="000B685A" w:rsidRPr="001436DD">
        <w:rPr>
          <w:rFonts w:ascii="Times New Roman" w:hAnsi="Times New Roman" w:cs="Times New Roman"/>
          <w:sz w:val="24"/>
          <w:szCs w:val="24"/>
          <w:lang w:val="ro-RO"/>
        </w:rPr>
        <w:t xml:space="preserve">sume de bani mai mult sau mai </w:t>
      </w:r>
      <w:r w:rsidR="000B685A" w:rsidRPr="002634BD">
        <w:rPr>
          <w:rFonts w:ascii="Times New Roman" w:hAnsi="Times New Roman" w:cs="Times New Roman"/>
          <w:sz w:val="24"/>
          <w:szCs w:val="24"/>
          <w:lang w:val="ro-RO"/>
        </w:rPr>
        <w:t xml:space="preserve">puțin consistente, iar altele preferă să solicite semnături. </w:t>
      </w:r>
      <w:r w:rsidR="00233490">
        <w:rPr>
          <w:rFonts w:ascii="Times New Roman" w:hAnsi="Times New Roman" w:cs="Times New Roman"/>
          <w:sz w:val="24"/>
          <w:szCs w:val="24"/>
          <w:lang w:val="ro-RO"/>
        </w:rPr>
        <w:t>Astfel, candidații fără dorința clară</w:t>
      </w:r>
      <w:r w:rsidR="00E45908" w:rsidRPr="002634BD">
        <w:rPr>
          <w:rFonts w:ascii="Times New Roman" w:hAnsi="Times New Roman" w:cs="Times New Roman"/>
          <w:sz w:val="24"/>
          <w:szCs w:val="24"/>
          <w:lang w:val="ro-RO"/>
        </w:rPr>
        <w:t xml:space="preserve"> de a intra cu adevărat în competiția electorală și fără intenția</w:t>
      </w:r>
      <w:r w:rsidR="00E45908" w:rsidRPr="005B0FD8">
        <w:rPr>
          <w:rFonts w:ascii="Times New Roman" w:hAnsi="Times New Roman" w:cs="Times New Roman"/>
          <w:sz w:val="24"/>
          <w:szCs w:val="24"/>
          <w:lang w:val="ro-RO"/>
        </w:rPr>
        <w:t xml:space="preserve"> de a câștiga poate alegerile sunt descurajați. </w:t>
      </w:r>
      <w:r w:rsidR="00246082" w:rsidRPr="005B0FD8">
        <w:rPr>
          <w:rFonts w:ascii="Times New Roman" w:hAnsi="Times New Roman" w:cs="Times New Roman"/>
          <w:sz w:val="24"/>
          <w:szCs w:val="24"/>
          <w:lang w:val="ro-RO"/>
        </w:rPr>
        <w:t>Nicio administrație electorală nu lasă acces liber complet la buletinul de vot</w:t>
      </w:r>
      <w:r w:rsidR="0071252E" w:rsidRPr="005B0FD8">
        <w:rPr>
          <w:rFonts w:ascii="Times New Roman" w:hAnsi="Times New Roman" w:cs="Times New Roman"/>
          <w:sz w:val="24"/>
          <w:szCs w:val="24"/>
          <w:lang w:val="ro-RO"/>
        </w:rPr>
        <w:t xml:space="preserve"> pentru partidele politice</w:t>
      </w:r>
      <w:r w:rsidR="00246082" w:rsidRPr="005B0FD8">
        <w:rPr>
          <w:rFonts w:ascii="Times New Roman" w:hAnsi="Times New Roman" w:cs="Times New Roman"/>
          <w:sz w:val="24"/>
          <w:szCs w:val="24"/>
          <w:lang w:val="ro-RO"/>
        </w:rPr>
        <w:t>.</w:t>
      </w:r>
    </w:p>
    <w:p w:rsidR="00A50799" w:rsidRPr="005B0FD8" w:rsidRDefault="00A50799" w:rsidP="002566BB">
      <w:pPr>
        <w:spacing w:after="0" w:line="240" w:lineRule="auto"/>
        <w:jc w:val="both"/>
        <w:rPr>
          <w:rFonts w:ascii="Times New Roman" w:hAnsi="Times New Roman" w:cs="Times New Roman"/>
          <w:sz w:val="24"/>
          <w:szCs w:val="24"/>
          <w:lang w:val="ro-RO"/>
        </w:rPr>
      </w:pPr>
    </w:p>
    <w:p w:rsidR="00DD3CE9" w:rsidRPr="00DD3CE9" w:rsidRDefault="006D02E1" w:rsidP="00DD3CE9">
      <w:pPr>
        <w:spacing w:after="0" w:line="240" w:lineRule="auto"/>
        <w:jc w:val="both"/>
        <w:rPr>
          <w:rFonts w:ascii="Times New Roman" w:hAnsi="Times New Roman" w:cs="Times New Roman"/>
          <w:b/>
          <w:sz w:val="24"/>
          <w:szCs w:val="24"/>
          <w:lang w:val="ro-RO"/>
        </w:rPr>
      </w:pPr>
      <w:r>
        <w:rPr>
          <w:rFonts w:ascii="Times New Roman" w:hAnsi="Times New Roman" w:cs="Times New Roman"/>
          <w:b/>
          <w:i/>
          <w:iCs/>
          <w:sz w:val="24"/>
          <w:szCs w:val="24"/>
          <w:lang w:val="ro-RO"/>
        </w:rPr>
        <w:t>4.3.</w:t>
      </w:r>
      <w:r w:rsidR="00A50799" w:rsidRPr="00D57770">
        <w:rPr>
          <w:rFonts w:ascii="Times New Roman" w:hAnsi="Times New Roman" w:cs="Times New Roman"/>
          <w:b/>
          <w:i/>
          <w:iCs/>
          <w:sz w:val="24"/>
          <w:szCs w:val="24"/>
          <w:lang w:val="ro-RO"/>
        </w:rPr>
        <w:t>Candidații independenți</w:t>
      </w:r>
    </w:p>
    <w:p w:rsidR="00C53B63" w:rsidRDefault="000F03D7" w:rsidP="00E57E6B">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 xml:space="preserve">Lectura legilor electorale din Uniunea Europeană arată că </w:t>
      </w:r>
      <w:r w:rsidR="00216419" w:rsidRPr="005B0FD8">
        <w:rPr>
          <w:rFonts w:ascii="Times New Roman" w:hAnsi="Times New Roman" w:cs="Times New Roman"/>
          <w:sz w:val="24"/>
          <w:szCs w:val="24"/>
          <w:lang w:val="ro-RO"/>
        </w:rPr>
        <w:t>18</w:t>
      </w:r>
      <w:r w:rsidR="00C53B63" w:rsidRPr="005B0FD8">
        <w:rPr>
          <w:rFonts w:ascii="Times New Roman" w:hAnsi="Times New Roman" w:cs="Times New Roman"/>
          <w:sz w:val="24"/>
          <w:szCs w:val="24"/>
          <w:lang w:val="ro-RO"/>
        </w:rPr>
        <w:t xml:space="preserve"> țări nu permit candidaților indep</w:t>
      </w:r>
      <w:r w:rsidRPr="005B0FD8">
        <w:rPr>
          <w:rFonts w:ascii="Times New Roman" w:hAnsi="Times New Roman" w:cs="Times New Roman"/>
          <w:sz w:val="24"/>
          <w:szCs w:val="24"/>
          <w:lang w:val="ro-RO"/>
        </w:rPr>
        <w:t>endenți să participe la alegerile europarlamentare și</w:t>
      </w:r>
      <w:r w:rsidR="006014B3" w:rsidRPr="005B0FD8">
        <w:rPr>
          <w:rFonts w:ascii="Times New Roman" w:hAnsi="Times New Roman" w:cs="Times New Roman"/>
          <w:sz w:val="24"/>
          <w:szCs w:val="24"/>
          <w:lang w:val="ro-RO"/>
        </w:rPr>
        <w:t xml:space="preserve"> că</w:t>
      </w:r>
      <w:r w:rsidRPr="005B0FD8">
        <w:rPr>
          <w:rFonts w:ascii="Times New Roman" w:hAnsi="Times New Roman" w:cs="Times New Roman"/>
          <w:sz w:val="24"/>
          <w:szCs w:val="24"/>
          <w:lang w:val="ro-RO"/>
        </w:rPr>
        <w:t xml:space="preserve"> doar </w:t>
      </w:r>
      <w:r w:rsidR="00216419" w:rsidRPr="005B0FD8">
        <w:rPr>
          <w:rFonts w:ascii="Times New Roman" w:hAnsi="Times New Roman" w:cs="Times New Roman"/>
          <w:sz w:val="24"/>
          <w:szCs w:val="24"/>
          <w:lang w:val="ro-RO"/>
        </w:rPr>
        <w:t>9</w:t>
      </w:r>
      <w:r w:rsidRPr="005B0FD8">
        <w:rPr>
          <w:rFonts w:ascii="Times New Roman" w:hAnsi="Times New Roman" w:cs="Times New Roman"/>
          <w:sz w:val="24"/>
          <w:szCs w:val="24"/>
          <w:lang w:val="ro-RO"/>
        </w:rPr>
        <w:t xml:space="preserve"> țări oferă posibilitatea cetățenilor să își exercite dreptul electoral de a </w:t>
      </w:r>
      <w:r w:rsidR="005C7D79" w:rsidRPr="005B0FD8">
        <w:rPr>
          <w:rFonts w:ascii="Times New Roman" w:hAnsi="Times New Roman" w:cs="Times New Roman"/>
          <w:sz w:val="24"/>
          <w:szCs w:val="24"/>
          <w:lang w:val="ro-RO"/>
        </w:rPr>
        <w:t>candida pentru a fi ales în mod independent</w:t>
      </w:r>
      <w:r w:rsidR="009F0F17">
        <w:rPr>
          <w:rFonts w:ascii="Times New Roman" w:hAnsi="Times New Roman" w:cs="Times New Roman"/>
          <w:sz w:val="24"/>
          <w:szCs w:val="24"/>
          <w:lang w:val="ro-RO"/>
        </w:rPr>
        <w:t xml:space="preserve"> alături de un caz mai special, Franța</w:t>
      </w:r>
      <w:r w:rsidR="005C7D79" w:rsidRPr="005B0FD8">
        <w:rPr>
          <w:rFonts w:ascii="Times New Roman" w:hAnsi="Times New Roman" w:cs="Times New Roman"/>
          <w:sz w:val="24"/>
          <w:szCs w:val="24"/>
          <w:lang w:val="ro-RO"/>
        </w:rPr>
        <w:t>.</w:t>
      </w:r>
      <w:r w:rsidR="00C60508">
        <w:rPr>
          <w:rFonts w:ascii="Times New Roman" w:hAnsi="Times New Roman" w:cs="Times New Roman"/>
          <w:sz w:val="24"/>
          <w:szCs w:val="24"/>
          <w:lang w:val="ro-RO"/>
        </w:rPr>
        <w:t xml:space="preserve"> Așa </w:t>
      </w:r>
      <w:r w:rsidR="00F56809">
        <w:rPr>
          <w:rFonts w:ascii="Times New Roman" w:hAnsi="Times New Roman" w:cs="Times New Roman"/>
          <w:sz w:val="24"/>
          <w:szCs w:val="24"/>
          <w:lang w:val="ro-RO"/>
        </w:rPr>
        <w:t>cum era de așteptat, Român</w:t>
      </w:r>
      <w:r w:rsidR="00C60508">
        <w:rPr>
          <w:rFonts w:ascii="Times New Roman" w:hAnsi="Times New Roman" w:cs="Times New Roman"/>
          <w:sz w:val="24"/>
          <w:szCs w:val="24"/>
          <w:lang w:val="ro-RO"/>
        </w:rPr>
        <w:t xml:space="preserve">ia aplică condițiile cele mai restrictive de acces la buletinul de vot pentru candidații independenți. </w:t>
      </w:r>
      <w:r w:rsidR="005C7D79" w:rsidRPr="005B0FD8">
        <w:rPr>
          <w:rFonts w:ascii="Times New Roman" w:hAnsi="Times New Roman" w:cs="Times New Roman"/>
          <w:sz w:val="24"/>
          <w:szCs w:val="24"/>
          <w:lang w:val="ro-RO"/>
        </w:rPr>
        <w:t xml:space="preserve"> </w:t>
      </w:r>
      <w:r w:rsidRPr="005B0FD8">
        <w:rPr>
          <w:rFonts w:ascii="Times New Roman" w:hAnsi="Times New Roman" w:cs="Times New Roman"/>
          <w:sz w:val="24"/>
          <w:szCs w:val="24"/>
          <w:lang w:val="ro-RO"/>
        </w:rPr>
        <w:t xml:space="preserve"> </w:t>
      </w:r>
    </w:p>
    <w:p w:rsidR="00DD2CAA" w:rsidRPr="005B0FD8" w:rsidRDefault="000F6EC3" w:rsidP="00DD2CAA">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Țările care permit candidați independenți</w:t>
      </w:r>
      <w:r>
        <w:rPr>
          <w:rFonts w:ascii="Times New Roman" w:hAnsi="Times New Roman" w:cs="Times New Roman"/>
          <w:sz w:val="24"/>
          <w:szCs w:val="24"/>
          <w:lang w:val="ro-RO"/>
        </w:rPr>
        <w:t xml:space="preserve"> sunt:</w:t>
      </w:r>
      <w:r w:rsidRPr="005B0FD8">
        <w:rPr>
          <w:rFonts w:ascii="Times New Roman" w:hAnsi="Times New Roman" w:cs="Times New Roman"/>
          <w:sz w:val="24"/>
          <w:szCs w:val="24"/>
          <w:lang w:val="ro-RO"/>
        </w:rPr>
        <w:t xml:space="preserve"> Austria (3,600 euro și 2,600 de semnături de susținere), Bulgaria (50 de euro și 2,500 de semnături), Cipru (500 de euro și 4 semnături), Estonia (2,700 de euro), Irlanda (1,800 de euro sau 60 de semnături), Luxemburg (250 de semnături), Malta (90 de euro și 4 semnături), Olanda (11,250 de euro și 30 de semnături), România (100,000 de semnături de susținere).</w:t>
      </w:r>
      <w:r>
        <w:rPr>
          <w:rFonts w:ascii="Times New Roman" w:hAnsi="Times New Roman" w:cs="Times New Roman"/>
          <w:sz w:val="24"/>
          <w:szCs w:val="24"/>
          <w:lang w:val="ro-RO"/>
        </w:rPr>
        <w:t xml:space="preserve"> </w:t>
      </w:r>
      <w:r w:rsidR="00F56809">
        <w:rPr>
          <w:rFonts w:ascii="Times New Roman" w:hAnsi="Times New Roman" w:cs="Times New Roman"/>
          <w:sz w:val="24"/>
          <w:szCs w:val="24"/>
          <w:lang w:val="ro-RO"/>
        </w:rPr>
        <w:t xml:space="preserve">Mai există însă și un caz special, </w:t>
      </w:r>
      <w:r w:rsidR="00A50799" w:rsidRPr="005B0FD8">
        <w:rPr>
          <w:rFonts w:ascii="Times New Roman" w:hAnsi="Times New Roman" w:cs="Times New Roman"/>
          <w:sz w:val="24"/>
          <w:szCs w:val="24"/>
          <w:lang w:val="ro-RO"/>
        </w:rPr>
        <w:t>Franța</w:t>
      </w:r>
      <w:r w:rsidR="00795D8D">
        <w:rPr>
          <w:rFonts w:ascii="Times New Roman" w:hAnsi="Times New Roman" w:cs="Times New Roman"/>
          <w:sz w:val="24"/>
          <w:szCs w:val="24"/>
          <w:lang w:val="ro-RO"/>
        </w:rPr>
        <w:t>,</w:t>
      </w:r>
      <w:r w:rsidR="00A50799" w:rsidRPr="005B0FD8">
        <w:rPr>
          <w:rFonts w:ascii="Times New Roman" w:hAnsi="Times New Roman" w:cs="Times New Roman"/>
          <w:sz w:val="24"/>
          <w:szCs w:val="24"/>
          <w:lang w:val="ro-RO"/>
        </w:rPr>
        <w:t xml:space="preserve"> </w:t>
      </w:r>
      <w:r w:rsidR="00F56809">
        <w:rPr>
          <w:rFonts w:ascii="Times New Roman" w:hAnsi="Times New Roman" w:cs="Times New Roman"/>
          <w:sz w:val="24"/>
          <w:szCs w:val="24"/>
          <w:lang w:val="ro-RO"/>
        </w:rPr>
        <w:t>care</w:t>
      </w:r>
      <w:r w:rsidR="00A50799" w:rsidRPr="005B0FD8">
        <w:rPr>
          <w:rFonts w:ascii="Times New Roman" w:hAnsi="Times New Roman" w:cs="Times New Roman"/>
          <w:sz w:val="24"/>
          <w:szCs w:val="24"/>
          <w:lang w:val="ro-RO"/>
        </w:rPr>
        <w:t xml:space="preserve"> permite candidatura ind</w:t>
      </w:r>
      <w:r w:rsidR="00913B91" w:rsidRPr="005B0FD8">
        <w:rPr>
          <w:rFonts w:ascii="Times New Roman" w:hAnsi="Times New Roman" w:cs="Times New Roman"/>
          <w:sz w:val="24"/>
          <w:szCs w:val="24"/>
          <w:lang w:val="ro-RO"/>
        </w:rPr>
        <w:t>ependenților sub forma de listă, mai precis 79 de candidați cu plata taxei de înscriere în alegere de 9,200 de euro</w:t>
      </w:r>
      <w:r w:rsidR="00FC2E7E" w:rsidRPr="005B0FD8">
        <w:rPr>
          <w:rFonts w:ascii="Times New Roman" w:hAnsi="Times New Roman" w:cs="Times New Roman"/>
          <w:sz w:val="24"/>
          <w:szCs w:val="24"/>
          <w:lang w:val="ro-RO"/>
        </w:rPr>
        <w:t>, aceasta pentru că forma candidaturii este una sub formă de listă în număr egal cu locurile care îi revin Franței în PE</w:t>
      </w:r>
      <w:r w:rsidR="00913B91" w:rsidRPr="005B0FD8">
        <w:rPr>
          <w:rFonts w:ascii="Times New Roman" w:hAnsi="Times New Roman" w:cs="Times New Roman"/>
          <w:sz w:val="24"/>
          <w:szCs w:val="24"/>
          <w:lang w:val="ro-RO"/>
        </w:rPr>
        <w:t>.</w:t>
      </w:r>
      <w:r w:rsidR="00FC2E7E" w:rsidRPr="005B0FD8">
        <w:rPr>
          <w:rStyle w:val="FootnoteReference"/>
          <w:rFonts w:ascii="Times New Roman" w:hAnsi="Times New Roman" w:cs="Times New Roman"/>
          <w:sz w:val="24"/>
          <w:szCs w:val="24"/>
          <w:lang w:val="ro-RO"/>
        </w:rPr>
        <w:footnoteReference w:id="32"/>
      </w:r>
      <w:r w:rsidR="00913B91" w:rsidRPr="005B0FD8">
        <w:rPr>
          <w:rFonts w:ascii="Times New Roman" w:hAnsi="Times New Roman" w:cs="Times New Roman"/>
          <w:sz w:val="24"/>
          <w:szCs w:val="24"/>
          <w:lang w:val="ro-RO"/>
        </w:rPr>
        <w:t xml:space="preserve"> </w:t>
      </w:r>
      <w:r w:rsidR="000678E0">
        <w:rPr>
          <w:rFonts w:ascii="Times New Roman" w:hAnsi="Times New Roman" w:cs="Times New Roman"/>
          <w:sz w:val="24"/>
          <w:szCs w:val="24"/>
          <w:lang w:val="ro-RO"/>
        </w:rPr>
        <w:t>Tot un caz aparte este și S</w:t>
      </w:r>
      <w:r w:rsidR="00DD2CAA" w:rsidRPr="005B0FD8">
        <w:rPr>
          <w:rFonts w:ascii="Times New Roman" w:hAnsi="Times New Roman" w:cs="Times New Roman"/>
          <w:sz w:val="24"/>
          <w:szCs w:val="24"/>
          <w:lang w:val="ro-RO"/>
        </w:rPr>
        <w:t>uedia</w:t>
      </w:r>
      <w:r w:rsidR="000678E0">
        <w:rPr>
          <w:rFonts w:ascii="Times New Roman" w:hAnsi="Times New Roman" w:cs="Times New Roman"/>
          <w:sz w:val="24"/>
          <w:szCs w:val="24"/>
          <w:lang w:val="ro-RO"/>
        </w:rPr>
        <w:t xml:space="preserve"> care</w:t>
      </w:r>
      <w:r w:rsidR="00DD2CAA" w:rsidRPr="005B0FD8">
        <w:rPr>
          <w:rFonts w:ascii="Times New Roman" w:hAnsi="Times New Roman" w:cs="Times New Roman"/>
          <w:sz w:val="24"/>
          <w:szCs w:val="24"/>
          <w:lang w:val="ro-RO"/>
        </w:rPr>
        <w:t xml:space="preserve"> nu permite candidaturile independenților</w:t>
      </w:r>
      <w:r w:rsidR="00725F67">
        <w:rPr>
          <w:rFonts w:ascii="Times New Roman" w:hAnsi="Times New Roman" w:cs="Times New Roman"/>
          <w:sz w:val="24"/>
          <w:szCs w:val="24"/>
          <w:lang w:val="ro-RO"/>
        </w:rPr>
        <w:t>, așa cum cu</w:t>
      </w:r>
      <w:r w:rsidR="00DD2CAA" w:rsidRPr="005B0FD8">
        <w:rPr>
          <w:rFonts w:ascii="Times New Roman" w:hAnsi="Times New Roman" w:cs="Times New Roman"/>
          <w:sz w:val="24"/>
          <w:szCs w:val="24"/>
          <w:lang w:val="ro-RO"/>
        </w:rPr>
        <w:t xml:space="preserve">m vedea mai încolo, </w:t>
      </w:r>
      <w:r w:rsidR="00725F67">
        <w:rPr>
          <w:rFonts w:ascii="Times New Roman" w:hAnsi="Times New Roman" w:cs="Times New Roman"/>
          <w:sz w:val="24"/>
          <w:szCs w:val="24"/>
          <w:lang w:val="ro-RO"/>
        </w:rPr>
        <w:t xml:space="preserve">dar </w:t>
      </w:r>
      <w:r w:rsidR="00DD2CAA" w:rsidRPr="005B0FD8">
        <w:rPr>
          <w:rFonts w:ascii="Times New Roman" w:hAnsi="Times New Roman" w:cs="Times New Roman"/>
          <w:sz w:val="24"/>
          <w:szCs w:val="24"/>
          <w:lang w:val="ro-RO"/>
        </w:rPr>
        <w:t>dă posibilitatea partidelor formate dintr-o singură persoană să candideze</w:t>
      </w:r>
      <w:r w:rsidR="004B615E">
        <w:rPr>
          <w:rFonts w:ascii="Times New Roman" w:hAnsi="Times New Roman" w:cs="Times New Roman"/>
          <w:sz w:val="24"/>
          <w:szCs w:val="24"/>
          <w:lang w:val="ro-RO"/>
        </w:rPr>
        <w:t xml:space="preserve">, </w:t>
      </w:r>
      <w:r w:rsidR="00B73A67">
        <w:rPr>
          <w:rFonts w:ascii="Times New Roman" w:hAnsi="Times New Roman" w:cs="Times New Roman"/>
          <w:sz w:val="24"/>
          <w:szCs w:val="24"/>
          <w:lang w:val="ro-RO"/>
        </w:rPr>
        <w:t xml:space="preserve">chiar și în aceste condiții, oficial, Suedia </w:t>
      </w:r>
      <w:r w:rsidR="004B615E">
        <w:rPr>
          <w:rFonts w:ascii="Times New Roman" w:hAnsi="Times New Roman" w:cs="Times New Roman"/>
          <w:sz w:val="24"/>
          <w:szCs w:val="24"/>
          <w:lang w:val="ro-RO"/>
        </w:rPr>
        <w:t xml:space="preserve">nu permite candidaților </w:t>
      </w:r>
      <w:r w:rsidR="005F300F">
        <w:rPr>
          <w:rFonts w:ascii="Times New Roman" w:hAnsi="Times New Roman" w:cs="Times New Roman"/>
          <w:sz w:val="24"/>
          <w:szCs w:val="24"/>
          <w:lang w:val="ro-RO"/>
        </w:rPr>
        <w:t>neasociați</w:t>
      </w:r>
      <w:r w:rsidR="000A751E">
        <w:rPr>
          <w:rFonts w:ascii="Times New Roman" w:hAnsi="Times New Roman" w:cs="Times New Roman"/>
          <w:sz w:val="24"/>
          <w:szCs w:val="24"/>
          <w:lang w:val="ro-RO"/>
        </w:rPr>
        <w:t xml:space="preserve"> să candideze</w:t>
      </w:r>
      <w:r w:rsidR="00DD2CAA" w:rsidRPr="005B0FD8">
        <w:rPr>
          <w:rFonts w:ascii="Times New Roman" w:hAnsi="Times New Roman" w:cs="Times New Roman"/>
          <w:sz w:val="24"/>
          <w:szCs w:val="24"/>
          <w:lang w:val="ro-RO"/>
        </w:rPr>
        <w:t>.</w:t>
      </w:r>
      <w:r w:rsidR="00DD2CAA" w:rsidRPr="005B0FD8">
        <w:rPr>
          <w:rStyle w:val="FootnoteReference"/>
          <w:rFonts w:ascii="Times New Roman" w:hAnsi="Times New Roman" w:cs="Times New Roman"/>
          <w:sz w:val="24"/>
          <w:szCs w:val="24"/>
          <w:lang w:val="ro-RO"/>
        </w:rPr>
        <w:footnoteReference w:id="33"/>
      </w:r>
    </w:p>
    <w:p w:rsidR="00F25C1E" w:rsidRPr="005B0FD8" w:rsidRDefault="000F6EC3" w:rsidP="002566BB">
      <w:pPr>
        <w:tabs>
          <w:tab w:val="left" w:pos="1221"/>
        </w:tabs>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w:t>
      </w:r>
      <w:r w:rsidR="00D500FE" w:rsidRPr="005B0FD8">
        <w:rPr>
          <w:rFonts w:ascii="Times New Roman" w:hAnsi="Times New Roman" w:cs="Times New Roman"/>
          <w:sz w:val="24"/>
          <w:szCs w:val="24"/>
          <w:lang w:val="ro-RO"/>
        </w:rPr>
        <w:t>10 țări membre ale UE exclusiv partidele</w:t>
      </w:r>
      <w:r w:rsidR="003537DB">
        <w:rPr>
          <w:rFonts w:ascii="Times New Roman" w:hAnsi="Times New Roman" w:cs="Times New Roman"/>
          <w:sz w:val="24"/>
          <w:szCs w:val="24"/>
          <w:lang w:val="ro-RO"/>
        </w:rPr>
        <w:t xml:space="preserve"> pol</w:t>
      </w:r>
      <w:r w:rsidR="00346515">
        <w:rPr>
          <w:rFonts w:ascii="Times New Roman" w:hAnsi="Times New Roman" w:cs="Times New Roman"/>
          <w:sz w:val="24"/>
          <w:szCs w:val="24"/>
          <w:lang w:val="ro-RO"/>
        </w:rPr>
        <w:t>i</w:t>
      </w:r>
      <w:r w:rsidR="003537DB">
        <w:rPr>
          <w:rFonts w:ascii="Times New Roman" w:hAnsi="Times New Roman" w:cs="Times New Roman"/>
          <w:sz w:val="24"/>
          <w:szCs w:val="24"/>
          <w:lang w:val="ro-RO"/>
        </w:rPr>
        <w:t>t</w:t>
      </w:r>
      <w:r w:rsidR="00346515">
        <w:rPr>
          <w:rFonts w:ascii="Times New Roman" w:hAnsi="Times New Roman" w:cs="Times New Roman"/>
          <w:sz w:val="24"/>
          <w:szCs w:val="24"/>
          <w:lang w:val="ro-RO"/>
        </w:rPr>
        <w:t>ice</w:t>
      </w:r>
      <w:r w:rsidR="00D500FE" w:rsidRPr="005B0FD8">
        <w:rPr>
          <w:rFonts w:ascii="Times New Roman" w:hAnsi="Times New Roman" w:cs="Times New Roman"/>
          <w:sz w:val="24"/>
          <w:szCs w:val="24"/>
          <w:lang w:val="ro-RO"/>
        </w:rPr>
        <w:t xml:space="preserve"> </w:t>
      </w:r>
      <w:r w:rsidR="002C48BC">
        <w:rPr>
          <w:rFonts w:ascii="Times New Roman" w:hAnsi="Times New Roman" w:cs="Times New Roman"/>
          <w:sz w:val="24"/>
          <w:szCs w:val="24"/>
          <w:lang w:val="ro-RO"/>
        </w:rPr>
        <w:t xml:space="preserve">pot nominaliza candidați pentru </w:t>
      </w:r>
      <w:r w:rsidR="00D500FE" w:rsidRPr="005B0FD8">
        <w:rPr>
          <w:rFonts w:ascii="Times New Roman" w:hAnsi="Times New Roman" w:cs="Times New Roman"/>
          <w:sz w:val="24"/>
          <w:szCs w:val="24"/>
          <w:lang w:val="ro-RO"/>
        </w:rPr>
        <w:t>alegeri</w:t>
      </w:r>
      <w:r w:rsidR="004B615E">
        <w:rPr>
          <w:rFonts w:ascii="Times New Roman" w:hAnsi="Times New Roman" w:cs="Times New Roman"/>
          <w:sz w:val="24"/>
          <w:szCs w:val="24"/>
          <w:lang w:val="ro-RO"/>
        </w:rPr>
        <w:t>le europarlamentare. Ca</w:t>
      </w:r>
      <w:r w:rsidR="00D500FE" w:rsidRPr="005B0FD8">
        <w:rPr>
          <w:rFonts w:ascii="Times New Roman" w:hAnsi="Times New Roman" w:cs="Times New Roman"/>
          <w:sz w:val="24"/>
          <w:szCs w:val="24"/>
          <w:lang w:val="ro-RO"/>
        </w:rPr>
        <w:t xml:space="preserve">ndidații non-partinici nu pot candida în Belgia, Cehia, Danemarca, Germania, Grecia, Letonia, Portugalia, </w:t>
      </w:r>
      <w:r w:rsidR="00197CEC" w:rsidRPr="005B0FD8">
        <w:rPr>
          <w:rFonts w:ascii="Times New Roman" w:hAnsi="Times New Roman" w:cs="Times New Roman"/>
          <w:sz w:val="24"/>
          <w:szCs w:val="24"/>
          <w:lang w:val="ro-RO"/>
        </w:rPr>
        <w:t xml:space="preserve">Slovacia, Suedia, Ungaria, cu mențiunea că </w:t>
      </w:r>
      <w:r w:rsidR="00792439" w:rsidRPr="005B0FD8">
        <w:rPr>
          <w:rFonts w:ascii="Times New Roman" w:hAnsi="Times New Roman" w:cs="Times New Roman"/>
          <w:sz w:val="24"/>
          <w:szCs w:val="24"/>
          <w:lang w:val="ro-RO"/>
        </w:rPr>
        <w:t xml:space="preserve">în </w:t>
      </w:r>
      <w:r w:rsidR="00197CEC" w:rsidRPr="005B0FD8">
        <w:rPr>
          <w:rFonts w:ascii="Times New Roman" w:hAnsi="Times New Roman" w:cs="Times New Roman"/>
          <w:sz w:val="24"/>
          <w:szCs w:val="24"/>
          <w:lang w:val="ro-RO"/>
        </w:rPr>
        <w:t>Suedia, repet, pot candida as</w:t>
      </w:r>
      <w:r w:rsidR="00E57E6B">
        <w:rPr>
          <w:rFonts w:ascii="Times New Roman" w:hAnsi="Times New Roman" w:cs="Times New Roman"/>
          <w:sz w:val="24"/>
          <w:szCs w:val="24"/>
          <w:lang w:val="ro-RO"/>
        </w:rPr>
        <w:t>o</w:t>
      </w:r>
      <w:r w:rsidR="00197CEC" w:rsidRPr="005B0FD8">
        <w:rPr>
          <w:rFonts w:ascii="Times New Roman" w:hAnsi="Times New Roman" w:cs="Times New Roman"/>
          <w:sz w:val="24"/>
          <w:szCs w:val="24"/>
          <w:lang w:val="ro-RO"/>
        </w:rPr>
        <w:t>ciațiile formate dintr</w:t>
      </w:r>
      <w:r w:rsidR="001D17FC" w:rsidRPr="005B0FD8">
        <w:rPr>
          <w:rFonts w:ascii="Times New Roman" w:hAnsi="Times New Roman" w:cs="Times New Roman"/>
          <w:sz w:val="24"/>
          <w:szCs w:val="24"/>
          <w:lang w:val="ro-RO"/>
        </w:rPr>
        <w:t>-</w:t>
      </w:r>
      <w:r w:rsidR="00197CEC" w:rsidRPr="005B0FD8">
        <w:rPr>
          <w:rFonts w:ascii="Times New Roman" w:hAnsi="Times New Roman" w:cs="Times New Roman"/>
          <w:sz w:val="24"/>
          <w:szCs w:val="24"/>
          <w:lang w:val="ro-RO"/>
        </w:rPr>
        <w:t>o singură persoană</w:t>
      </w:r>
      <w:r w:rsidR="001D17FC" w:rsidRPr="005B0FD8">
        <w:rPr>
          <w:rFonts w:ascii="Times New Roman" w:hAnsi="Times New Roman" w:cs="Times New Roman"/>
          <w:sz w:val="24"/>
          <w:szCs w:val="24"/>
          <w:lang w:val="ro-RO"/>
        </w:rPr>
        <w:t>.</w:t>
      </w:r>
      <w:r w:rsidR="00197CEC" w:rsidRPr="005B0FD8">
        <w:rPr>
          <w:rFonts w:ascii="Times New Roman" w:hAnsi="Times New Roman" w:cs="Times New Roman"/>
          <w:sz w:val="24"/>
          <w:szCs w:val="24"/>
          <w:lang w:val="ro-RO"/>
        </w:rPr>
        <w:t xml:space="preserve"> și, în plus, în Belgia, Germania, Grecia și Ungaria este foarte ușor să înregistrezi un partid politic și să îl </w:t>
      </w:r>
      <w:r w:rsidR="004B615E">
        <w:rPr>
          <w:rFonts w:ascii="Times New Roman" w:hAnsi="Times New Roman" w:cs="Times New Roman"/>
          <w:sz w:val="24"/>
          <w:szCs w:val="24"/>
          <w:lang w:val="ro-RO"/>
        </w:rPr>
        <w:t xml:space="preserve">înscrii și în cursa electorală. </w:t>
      </w:r>
      <w:r w:rsidR="0092421F">
        <w:rPr>
          <w:rFonts w:ascii="Times New Roman" w:hAnsi="Times New Roman" w:cs="Times New Roman"/>
          <w:sz w:val="24"/>
          <w:szCs w:val="24"/>
          <w:lang w:val="ro-RO"/>
        </w:rPr>
        <w:t>Adunând numărul de țări în care pot candida independenți</w:t>
      </w:r>
      <w:r w:rsidR="009F0F17">
        <w:rPr>
          <w:rFonts w:ascii="Times New Roman" w:hAnsi="Times New Roman" w:cs="Times New Roman"/>
          <w:sz w:val="24"/>
          <w:szCs w:val="24"/>
          <w:lang w:val="ro-RO"/>
        </w:rPr>
        <w:t>,</w:t>
      </w:r>
      <w:r w:rsidR="0092421F">
        <w:rPr>
          <w:rFonts w:ascii="Times New Roman" w:hAnsi="Times New Roman" w:cs="Times New Roman"/>
          <w:sz w:val="24"/>
          <w:szCs w:val="24"/>
          <w:lang w:val="ro-RO"/>
        </w:rPr>
        <w:t xml:space="preserve"> </w:t>
      </w:r>
      <w:r w:rsidR="009F0F17">
        <w:rPr>
          <w:rFonts w:ascii="Times New Roman" w:hAnsi="Times New Roman" w:cs="Times New Roman"/>
          <w:sz w:val="24"/>
          <w:szCs w:val="24"/>
          <w:lang w:val="ro-RO"/>
        </w:rPr>
        <w:t xml:space="preserve">10 și cu 10, țările în care nu pot candida, nu se întrunește numărul de țări membre ale UE. Restul de 7 țări permit o altă formă de candidatură, ceva între candidatura independentă și cea partinică, mai aproape însă de a fi independenți așa cum am descris în continuare. </w:t>
      </w:r>
    </w:p>
    <w:p w:rsidR="00F25C1E" w:rsidRPr="005B0FD8" w:rsidRDefault="00F25C1E" w:rsidP="002566BB">
      <w:pPr>
        <w:spacing w:after="0" w:line="240" w:lineRule="auto"/>
        <w:jc w:val="both"/>
        <w:rPr>
          <w:rFonts w:ascii="Times New Roman" w:hAnsi="Times New Roman" w:cs="Times New Roman"/>
          <w:sz w:val="24"/>
          <w:szCs w:val="24"/>
          <w:lang w:val="ro-RO"/>
        </w:rPr>
      </w:pPr>
    </w:p>
    <w:p w:rsidR="005119D6" w:rsidRPr="005B0FD8" w:rsidRDefault="005119D6" w:rsidP="002566BB">
      <w:pPr>
        <w:spacing w:after="0" w:line="240" w:lineRule="auto"/>
        <w:ind w:firstLine="720"/>
        <w:jc w:val="both"/>
        <w:rPr>
          <w:rFonts w:ascii="Times New Roman" w:hAnsi="Times New Roman" w:cs="Times New Roman"/>
          <w:sz w:val="24"/>
          <w:szCs w:val="24"/>
          <w:lang w:val="ro-RO"/>
        </w:rPr>
      </w:pPr>
    </w:p>
    <w:p w:rsidR="005119D6" w:rsidRPr="005B0FD8" w:rsidRDefault="005119D6" w:rsidP="002566BB">
      <w:pPr>
        <w:spacing w:after="0" w:line="240" w:lineRule="auto"/>
        <w:ind w:firstLine="720"/>
        <w:jc w:val="both"/>
        <w:rPr>
          <w:rFonts w:ascii="Times New Roman" w:hAnsi="Times New Roman" w:cs="Times New Roman"/>
          <w:sz w:val="24"/>
          <w:szCs w:val="24"/>
          <w:lang w:val="ro-RO"/>
        </w:rPr>
      </w:pPr>
      <w:r w:rsidRPr="005B0FD8">
        <w:rPr>
          <w:noProof/>
          <w:lang w:eastAsia="en-GB" w:bidi="te-IN"/>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000" cy="3648076"/>
            <wp:effectExtent l="0" t="0" r="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rPr>
          <w:rFonts w:ascii="Times New Roman" w:hAnsi="Times New Roman" w:cs="Times New Roman"/>
          <w:sz w:val="24"/>
          <w:szCs w:val="24"/>
          <w:lang w:val="ro-RO"/>
        </w:rPr>
      </w:pPr>
    </w:p>
    <w:p w:rsidR="005119D6" w:rsidRPr="005B0FD8" w:rsidRDefault="005119D6" w:rsidP="002566BB">
      <w:pPr>
        <w:spacing w:after="0" w:line="240" w:lineRule="auto"/>
        <w:ind w:firstLine="720"/>
        <w:jc w:val="both"/>
        <w:rPr>
          <w:rFonts w:ascii="Times New Roman" w:hAnsi="Times New Roman" w:cs="Times New Roman"/>
          <w:sz w:val="24"/>
          <w:szCs w:val="24"/>
          <w:lang w:val="ro-RO"/>
        </w:rPr>
      </w:pPr>
    </w:p>
    <w:p w:rsidR="005119D6" w:rsidRPr="005B0FD8" w:rsidRDefault="005119D6" w:rsidP="002566BB">
      <w:pPr>
        <w:spacing w:after="0" w:line="240" w:lineRule="auto"/>
        <w:ind w:firstLine="720"/>
        <w:jc w:val="both"/>
        <w:rPr>
          <w:rFonts w:ascii="Times New Roman" w:hAnsi="Times New Roman" w:cs="Times New Roman"/>
          <w:sz w:val="24"/>
          <w:szCs w:val="24"/>
          <w:lang w:val="ro-RO"/>
        </w:rPr>
      </w:pPr>
    </w:p>
    <w:p w:rsidR="005119D6" w:rsidRPr="005B0FD8" w:rsidRDefault="005119D6" w:rsidP="002566BB">
      <w:pPr>
        <w:spacing w:after="0" w:line="240" w:lineRule="auto"/>
        <w:ind w:firstLine="720"/>
        <w:jc w:val="both"/>
        <w:rPr>
          <w:rFonts w:ascii="Times New Roman" w:hAnsi="Times New Roman" w:cs="Times New Roman"/>
          <w:sz w:val="24"/>
          <w:szCs w:val="24"/>
          <w:lang w:val="ro-RO"/>
        </w:rPr>
      </w:pPr>
    </w:p>
    <w:p w:rsidR="005119D6" w:rsidRPr="005B0FD8" w:rsidRDefault="005119D6" w:rsidP="002566BB">
      <w:pPr>
        <w:spacing w:after="0" w:line="240" w:lineRule="auto"/>
        <w:ind w:firstLine="720"/>
        <w:jc w:val="both"/>
        <w:rPr>
          <w:rFonts w:ascii="Times New Roman" w:hAnsi="Times New Roman" w:cs="Times New Roman"/>
          <w:sz w:val="24"/>
          <w:szCs w:val="24"/>
          <w:lang w:val="ro-RO"/>
        </w:rPr>
      </w:pPr>
    </w:p>
    <w:p w:rsidR="005119D6" w:rsidRPr="005B0FD8" w:rsidRDefault="005119D6" w:rsidP="002566BB">
      <w:pPr>
        <w:spacing w:after="0" w:line="240" w:lineRule="auto"/>
        <w:ind w:firstLine="720"/>
        <w:jc w:val="both"/>
        <w:rPr>
          <w:rFonts w:ascii="Times New Roman" w:hAnsi="Times New Roman" w:cs="Times New Roman"/>
          <w:sz w:val="24"/>
          <w:szCs w:val="24"/>
          <w:lang w:val="ro-RO"/>
        </w:rPr>
      </w:pPr>
    </w:p>
    <w:p w:rsidR="005119D6" w:rsidRPr="005B0FD8" w:rsidRDefault="005119D6" w:rsidP="002566BB">
      <w:pPr>
        <w:spacing w:after="0" w:line="240" w:lineRule="auto"/>
        <w:ind w:firstLine="720"/>
        <w:jc w:val="both"/>
        <w:rPr>
          <w:rFonts w:ascii="Times New Roman" w:hAnsi="Times New Roman" w:cs="Times New Roman"/>
          <w:sz w:val="24"/>
          <w:szCs w:val="24"/>
          <w:lang w:val="ro-RO"/>
        </w:rPr>
      </w:pPr>
    </w:p>
    <w:p w:rsidR="00EB1358" w:rsidRDefault="00EB1358" w:rsidP="002566BB">
      <w:pPr>
        <w:spacing w:after="0" w:line="240" w:lineRule="auto"/>
        <w:ind w:firstLine="720"/>
        <w:jc w:val="both"/>
        <w:rPr>
          <w:rFonts w:ascii="Times New Roman" w:hAnsi="Times New Roman" w:cs="Times New Roman"/>
          <w:sz w:val="24"/>
          <w:szCs w:val="24"/>
          <w:lang w:val="ro-RO"/>
        </w:rPr>
      </w:pPr>
    </w:p>
    <w:p w:rsidR="00EB1358" w:rsidRDefault="00EB1358" w:rsidP="002566BB">
      <w:pPr>
        <w:spacing w:after="0" w:line="240" w:lineRule="auto"/>
        <w:ind w:firstLine="720"/>
        <w:jc w:val="both"/>
        <w:rPr>
          <w:rFonts w:ascii="Times New Roman" w:hAnsi="Times New Roman" w:cs="Times New Roman"/>
          <w:sz w:val="24"/>
          <w:szCs w:val="24"/>
          <w:lang w:val="ro-RO"/>
        </w:rPr>
      </w:pPr>
    </w:p>
    <w:p w:rsidR="00EB1358" w:rsidRDefault="00EB1358" w:rsidP="002566BB">
      <w:pPr>
        <w:spacing w:after="0" w:line="240" w:lineRule="auto"/>
        <w:ind w:firstLine="720"/>
        <w:jc w:val="both"/>
        <w:rPr>
          <w:rFonts w:ascii="Times New Roman" w:hAnsi="Times New Roman" w:cs="Times New Roman"/>
          <w:sz w:val="24"/>
          <w:szCs w:val="24"/>
          <w:lang w:val="ro-RO"/>
        </w:rPr>
      </w:pPr>
    </w:p>
    <w:p w:rsidR="00EB1358" w:rsidRDefault="00EB1358" w:rsidP="002566BB">
      <w:pPr>
        <w:spacing w:after="0" w:line="240" w:lineRule="auto"/>
        <w:ind w:firstLine="720"/>
        <w:jc w:val="both"/>
        <w:rPr>
          <w:rFonts w:ascii="Times New Roman" w:hAnsi="Times New Roman" w:cs="Times New Roman"/>
          <w:sz w:val="24"/>
          <w:szCs w:val="24"/>
          <w:lang w:val="ro-RO"/>
        </w:rPr>
      </w:pPr>
    </w:p>
    <w:p w:rsidR="00C273B7" w:rsidRDefault="00C273B7" w:rsidP="002566BB">
      <w:pPr>
        <w:spacing w:after="0" w:line="240" w:lineRule="auto"/>
        <w:ind w:firstLine="720"/>
        <w:jc w:val="both"/>
        <w:rPr>
          <w:rFonts w:ascii="Times New Roman" w:hAnsi="Times New Roman" w:cs="Times New Roman"/>
          <w:sz w:val="24"/>
          <w:szCs w:val="24"/>
          <w:lang w:val="ro-RO"/>
        </w:rPr>
      </w:pPr>
    </w:p>
    <w:p w:rsidR="00C273B7" w:rsidRPr="00C273B7" w:rsidRDefault="00C273B7" w:rsidP="00C273B7">
      <w:pPr>
        <w:spacing w:after="0" w:line="240" w:lineRule="auto"/>
        <w:jc w:val="both"/>
        <w:rPr>
          <w:rFonts w:ascii="Times New Roman" w:hAnsi="Times New Roman" w:cs="Times New Roman"/>
          <w:i/>
          <w:iCs/>
          <w:sz w:val="24"/>
          <w:szCs w:val="24"/>
          <w:lang w:val="ro-RO"/>
        </w:rPr>
      </w:pPr>
      <w:r w:rsidRPr="00C273B7">
        <w:rPr>
          <w:rFonts w:ascii="Times New Roman" w:hAnsi="Times New Roman" w:cs="Times New Roman"/>
          <w:i/>
          <w:iCs/>
          <w:sz w:val="24"/>
          <w:szCs w:val="24"/>
          <w:lang w:val="ro-RO"/>
        </w:rPr>
        <w:t>Grafic 4. Condiții constând în semnături și depozit în bani solicitate candidaților independenți</w:t>
      </w:r>
    </w:p>
    <w:p w:rsidR="00C273B7" w:rsidRDefault="00C273B7" w:rsidP="002566BB">
      <w:pPr>
        <w:spacing w:after="0" w:line="240" w:lineRule="auto"/>
        <w:ind w:firstLine="720"/>
        <w:jc w:val="both"/>
        <w:rPr>
          <w:rFonts w:ascii="Times New Roman" w:hAnsi="Times New Roman" w:cs="Times New Roman"/>
          <w:sz w:val="24"/>
          <w:szCs w:val="24"/>
          <w:lang w:val="ro-RO"/>
        </w:rPr>
      </w:pPr>
    </w:p>
    <w:p w:rsidR="005119D6" w:rsidRPr="005B0FD8" w:rsidRDefault="005119D6" w:rsidP="002566BB">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După</w:t>
      </w:r>
      <w:r w:rsidR="004F723A" w:rsidRPr="005B0FD8">
        <w:rPr>
          <w:rFonts w:ascii="Times New Roman" w:hAnsi="Times New Roman" w:cs="Times New Roman"/>
          <w:sz w:val="24"/>
          <w:szCs w:val="24"/>
          <w:lang w:val="ro-RO"/>
        </w:rPr>
        <w:t xml:space="preserve"> cum</w:t>
      </w:r>
      <w:r w:rsidRPr="005B0FD8">
        <w:rPr>
          <w:rFonts w:ascii="Times New Roman" w:hAnsi="Times New Roman" w:cs="Times New Roman"/>
          <w:sz w:val="24"/>
          <w:szCs w:val="24"/>
          <w:lang w:val="ro-RO"/>
        </w:rPr>
        <w:t xml:space="preserve"> arată graficul, România, din nou, face notă discordantă cu o condiție cu mult mai drastică de acces al unui candidat independent la buletinul de vot decât în celelalte țări europene</w:t>
      </w:r>
      <w:r w:rsidR="00BF1099" w:rsidRPr="005B0FD8">
        <w:rPr>
          <w:rFonts w:ascii="Times New Roman" w:hAnsi="Times New Roman" w:cs="Times New Roman"/>
          <w:sz w:val="24"/>
          <w:szCs w:val="24"/>
          <w:lang w:val="ro-RO"/>
        </w:rPr>
        <w:t xml:space="preserve"> în privința semnăturilor</w:t>
      </w:r>
      <w:r w:rsidRPr="005B0FD8">
        <w:rPr>
          <w:rFonts w:ascii="Times New Roman" w:hAnsi="Times New Roman" w:cs="Times New Roman"/>
          <w:sz w:val="24"/>
          <w:szCs w:val="24"/>
          <w:lang w:val="ro-RO"/>
        </w:rPr>
        <w:t>.</w:t>
      </w:r>
      <w:r w:rsidR="00BF1099" w:rsidRPr="005B0FD8">
        <w:rPr>
          <w:rFonts w:ascii="Times New Roman" w:hAnsi="Times New Roman" w:cs="Times New Roman"/>
          <w:sz w:val="24"/>
          <w:szCs w:val="24"/>
          <w:lang w:val="ro-RO"/>
        </w:rPr>
        <w:t xml:space="preserve"> Cele 100,000 de semnături de susținere pot însă rivaliza</w:t>
      </w:r>
      <w:r w:rsidR="00C24655" w:rsidRPr="005B0FD8">
        <w:rPr>
          <w:rFonts w:ascii="Times New Roman" w:hAnsi="Times New Roman" w:cs="Times New Roman"/>
          <w:sz w:val="24"/>
          <w:szCs w:val="24"/>
          <w:lang w:val="ro-RO"/>
        </w:rPr>
        <w:t>,</w:t>
      </w:r>
      <w:r w:rsidR="00BF1099" w:rsidRPr="005B0FD8">
        <w:rPr>
          <w:rFonts w:ascii="Times New Roman" w:hAnsi="Times New Roman" w:cs="Times New Roman"/>
          <w:sz w:val="24"/>
          <w:szCs w:val="24"/>
          <w:lang w:val="ro-RO"/>
        </w:rPr>
        <w:t xml:space="preserve"> într-o oarecare măsură</w:t>
      </w:r>
      <w:r w:rsidR="00C24655" w:rsidRPr="005B0FD8">
        <w:rPr>
          <w:rFonts w:ascii="Times New Roman" w:hAnsi="Times New Roman" w:cs="Times New Roman"/>
          <w:sz w:val="24"/>
          <w:szCs w:val="24"/>
          <w:lang w:val="ro-RO"/>
        </w:rPr>
        <w:t>,</w:t>
      </w:r>
      <w:r w:rsidR="00BF1099" w:rsidRPr="005B0FD8">
        <w:rPr>
          <w:rFonts w:ascii="Times New Roman" w:hAnsi="Times New Roman" w:cs="Times New Roman"/>
          <w:sz w:val="24"/>
          <w:szCs w:val="24"/>
          <w:lang w:val="ro-RO"/>
        </w:rPr>
        <w:t xml:space="preserve"> cu cei 11,500 de euro solicitați în Olanda, deoarece costul strângerii unui asem</w:t>
      </w:r>
      <w:r w:rsidR="00AF503F" w:rsidRPr="005B0FD8">
        <w:rPr>
          <w:rFonts w:ascii="Times New Roman" w:hAnsi="Times New Roman" w:cs="Times New Roman"/>
          <w:sz w:val="24"/>
          <w:szCs w:val="24"/>
          <w:lang w:val="ro-RO"/>
        </w:rPr>
        <w:t>e</w:t>
      </w:r>
      <w:r w:rsidR="00BF1099" w:rsidRPr="005B0FD8">
        <w:rPr>
          <w:rFonts w:ascii="Times New Roman" w:hAnsi="Times New Roman" w:cs="Times New Roman"/>
          <w:sz w:val="24"/>
          <w:szCs w:val="24"/>
          <w:lang w:val="ro-RO"/>
        </w:rPr>
        <w:t xml:space="preserve">nea număr de semnături în România ar putea echivala cu suma solicitată în Olanda, cu mențiunea totuși că banii sunt returnați în Olanda în cazul </w:t>
      </w:r>
      <w:r w:rsidR="00C00672" w:rsidRPr="005B0FD8">
        <w:rPr>
          <w:rFonts w:ascii="Times New Roman" w:hAnsi="Times New Roman" w:cs="Times New Roman"/>
          <w:sz w:val="24"/>
          <w:szCs w:val="24"/>
          <w:lang w:val="ro-RO"/>
        </w:rPr>
        <w:t xml:space="preserve">în care </w:t>
      </w:r>
      <w:r w:rsidR="007636E2" w:rsidRPr="005B0FD8">
        <w:rPr>
          <w:rFonts w:ascii="Times New Roman" w:hAnsi="Times New Roman" w:cs="Times New Roman"/>
          <w:sz w:val="24"/>
          <w:szCs w:val="24"/>
          <w:lang w:val="ro-RO"/>
        </w:rPr>
        <w:t>partidul obține voturi cumulate constând în trei sferturi din coeficientului electoral care, bunăoară, în 2009 a fost de 182,160 de voturi,</w:t>
      </w:r>
      <w:r w:rsidR="0038323C" w:rsidRPr="005B0FD8">
        <w:rPr>
          <w:rStyle w:val="FootnoteReference"/>
          <w:rFonts w:ascii="Times New Roman" w:hAnsi="Times New Roman" w:cs="Times New Roman"/>
          <w:sz w:val="24"/>
          <w:szCs w:val="24"/>
          <w:lang w:val="ro-RO"/>
        </w:rPr>
        <w:footnoteReference w:id="34"/>
      </w:r>
      <w:r w:rsidR="007636E2" w:rsidRPr="005B0FD8">
        <w:rPr>
          <w:rFonts w:ascii="Times New Roman" w:hAnsi="Times New Roman" w:cs="Times New Roman"/>
          <w:sz w:val="24"/>
          <w:szCs w:val="24"/>
          <w:lang w:val="ro-RO"/>
        </w:rPr>
        <w:t xml:space="preserve"> și deci trei sferturi a însemnat 136,620 de voturi.</w:t>
      </w:r>
      <w:r w:rsidR="009870E2" w:rsidRPr="005B0FD8">
        <w:rPr>
          <w:rFonts w:ascii="Times New Roman" w:hAnsi="Times New Roman" w:cs="Times New Roman"/>
          <w:sz w:val="24"/>
          <w:szCs w:val="24"/>
          <w:lang w:val="ro-RO"/>
        </w:rPr>
        <w:t xml:space="preserve"> </w:t>
      </w:r>
      <w:r w:rsidR="00353B38" w:rsidRPr="005B0FD8">
        <w:rPr>
          <w:rFonts w:ascii="Times New Roman" w:hAnsi="Times New Roman" w:cs="Times New Roman"/>
          <w:sz w:val="24"/>
          <w:szCs w:val="24"/>
          <w:lang w:val="ro-RO"/>
        </w:rPr>
        <w:t>Dacă însă avem în vedere condi</w:t>
      </w:r>
      <w:r w:rsidR="009870E2" w:rsidRPr="005B0FD8">
        <w:rPr>
          <w:rFonts w:ascii="Times New Roman" w:hAnsi="Times New Roman" w:cs="Times New Roman"/>
          <w:sz w:val="24"/>
          <w:szCs w:val="24"/>
          <w:lang w:val="ro-RO"/>
        </w:rPr>
        <w:t>țiile cele mai accesibile pentru un candidat independent în sensul clasic al termen</w:t>
      </w:r>
      <w:r w:rsidR="00822FDA" w:rsidRPr="005B0FD8">
        <w:rPr>
          <w:rFonts w:ascii="Times New Roman" w:hAnsi="Times New Roman" w:cs="Times New Roman"/>
          <w:sz w:val="24"/>
          <w:szCs w:val="24"/>
          <w:lang w:val="ro-RO"/>
        </w:rPr>
        <w:t>ului, nu sub alte denumiri insti</w:t>
      </w:r>
      <w:r w:rsidR="009870E2" w:rsidRPr="005B0FD8">
        <w:rPr>
          <w:rFonts w:ascii="Times New Roman" w:hAnsi="Times New Roman" w:cs="Times New Roman"/>
          <w:sz w:val="24"/>
          <w:szCs w:val="24"/>
          <w:lang w:val="ro-RO"/>
        </w:rPr>
        <w:t>tuționale, sunt de găsit în Malta (90 de euro și 4 semnături de susținere) și în Luxemburg (</w:t>
      </w:r>
      <w:r w:rsidR="00353B38" w:rsidRPr="005B0FD8">
        <w:rPr>
          <w:rFonts w:ascii="Times New Roman" w:hAnsi="Times New Roman" w:cs="Times New Roman"/>
          <w:sz w:val="24"/>
          <w:szCs w:val="24"/>
          <w:lang w:val="ro-RO"/>
        </w:rPr>
        <w:t>25</w:t>
      </w:r>
      <w:r w:rsidR="009870E2" w:rsidRPr="005B0FD8">
        <w:rPr>
          <w:rFonts w:ascii="Times New Roman" w:hAnsi="Times New Roman" w:cs="Times New Roman"/>
          <w:sz w:val="24"/>
          <w:szCs w:val="24"/>
          <w:lang w:val="ro-RO"/>
        </w:rPr>
        <w:t>0 de euro)</w:t>
      </w:r>
      <w:r w:rsidR="009A1559" w:rsidRPr="005B0FD8">
        <w:rPr>
          <w:rFonts w:ascii="Times New Roman" w:hAnsi="Times New Roman" w:cs="Times New Roman"/>
          <w:sz w:val="24"/>
          <w:szCs w:val="24"/>
          <w:lang w:val="ro-RO"/>
        </w:rPr>
        <w:t>.</w:t>
      </w:r>
      <w:r w:rsidR="00353B38" w:rsidRPr="005B0FD8">
        <w:rPr>
          <w:rFonts w:ascii="Times New Roman" w:hAnsi="Times New Roman" w:cs="Times New Roman"/>
          <w:sz w:val="24"/>
          <w:szCs w:val="24"/>
          <w:lang w:val="ro-RO"/>
        </w:rPr>
        <w:t xml:space="preserve"> </w:t>
      </w:r>
    </w:p>
    <w:p w:rsidR="00DF3E58" w:rsidRPr="005B0FD8" w:rsidRDefault="00DF3E58" w:rsidP="002566BB">
      <w:pPr>
        <w:spacing w:after="0" w:line="240" w:lineRule="auto"/>
        <w:ind w:firstLine="720"/>
        <w:jc w:val="both"/>
        <w:rPr>
          <w:rFonts w:ascii="Times New Roman" w:hAnsi="Times New Roman" w:cs="Times New Roman"/>
          <w:sz w:val="24"/>
          <w:szCs w:val="24"/>
          <w:lang w:val="ro-RO"/>
        </w:rPr>
      </w:pPr>
    </w:p>
    <w:p w:rsidR="006D3B82" w:rsidRPr="00D57770" w:rsidRDefault="006D02E1" w:rsidP="006D3B82">
      <w:pPr>
        <w:spacing w:after="0" w:line="240" w:lineRule="auto"/>
        <w:jc w:val="both"/>
        <w:rPr>
          <w:rFonts w:ascii="Times New Roman" w:hAnsi="Times New Roman" w:cs="Times New Roman"/>
          <w:b/>
          <w:i/>
          <w:iCs/>
          <w:sz w:val="24"/>
          <w:szCs w:val="24"/>
          <w:lang w:val="ro-RO"/>
        </w:rPr>
      </w:pPr>
      <w:r>
        <w:rPr>
          <w:rFonts w:ascii="Times New Roman" w:hAnsi="Times New Roman" w:cs="Times New Roman"/>
          <w:b/>
          <w:i/>
          <w:iCs/>
          <w:sz w:val="24"/>
          <w:szCs w:val="24"/>
          <w:lang w:val="ro-RO"/>
        </w:rPr>
        <w:t>4.4.</w:t>
      </w:r>
      <w:r w:rsidR="006D3B82" w:rsidRPr="00D57770">
        <w:rPr>
          <w:rFonts w:ascii="Times New Roman" w:hAnsi="Times New Roman" w:cs="Times New Roman"/>
          <w:b/>
          <w:i/>
          <w:iCs/>
          <w:sz w:val="24"/>
          <w:szCs w:val="24"/>
          <w:lang w:val="ro-RO"/>
        </w:rPr>
        <w:t>Cazul asociațiilor de votanți cu caracter temporar</w:t>
      </w:r>
    </w:p>
    <w:p w:rsidR="006D3B82" w:rsidRPr="005B0FD8" w:rsidRDefault="006D3B82" w:rsidP="006D3B82">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 xml:space="preserve">Din cele 27 de țări membre ale UE, 7 țări permit cetățenilor, votanților să se asocieze doar pentru respectivele alegeri europarlamentare și să propună candidați propri. </w:t>
      </w:r>
      <w:r>
        <w:rPr>
          <w:rFonts w:ascii="Times New Roman" w:hAnsi="Times New Roman" w:cs="Times New Roman"/>
          <w:sz w:val="24"/>
          <w:szCs w:val="24"/>
          <w:lang w:val="ro-RO"/>
        </w:rPr>
        <w:t xml:space="preserve">La prima vedere, acestea asociații ad-hoc pot părea forme instituționalizate de a permite candinaților independenți să participe la alegeri. De altfel, unele instituțiile electorale ale țărilor din studiu au răspuns la solcitările de informații în scris cu ”da,” la întrebarea dacă independenții pot candida, referindu-se la aceste asociații (ex. Finlanda și Polonia). Astfel că, într-un fel, acestea au fost concepute ca o altă formă de a permite candidaților non-partinici de a participa la alegeri. </w:t>
      </w:r>
      <w:r w:rsidRPr="005B0FD8">
        <w:rPr>
          <w:rFonts w:ascii="Times New Roman" w:hAnsi="Times New Roman" w:cs="Times New Roman"/>
          <w:sz w:val="24"/>
          <w:szCs w:val="24"/>
          <w:lang w:val="ro-RO"/>
        </w:rPr>
        <w:t>În unele țări</w:t>
      </w:r>
      <w:r>
        <w:rPr>
          <w:rFonts w:ascii="Times New Roman" w:hAnsi="Times New Roman" w:cs="Times New Roman"/>
          <w:sz w:val="24"/>
          <w:szCs w:val="24"/>
          <w:lang w:val="ro-RO"/>
        </w:rPr>
        <w:t>, denumirea acestui ti</w:t>
      </w:r>
      <w:r w:rsidRPr="005B0FD8">
        <w:rPr>
          <w:rFonts w:ascii="Times New Roman" w:hAnsi="Times New Roman" w:cs="Times New Roman"/>
          <w:sz w:val="24"/>
          <w:szCs w:val="24"/>
          <w:lang w:val="ro-RO"/>
        </w:rPr>
        <w:t xml:space="preserve">p de grup de votanți ”ad-hoc” </w:t>
      </w:r>
      <w:r>
        <w:rPr>
          <w:rFonts w:ascii="Times New Roman" w:hAnsi="Times New Roman" w:cs="Times New Roman"/>
          <w:sz w:val="24"/>
          <w:szCs w:val="24"/>
          <w:lang w:val="ro-RO"/>
        </w:rPr>
        <w:t>este de</w:t>
      </w:r>
      <w:r w:rsidRPr="005B0FD8">
        <w:rPr>
          <w:rFonts w:ascii="Times New Roman" w:hAnsi="Times New Roman" w:cs="Times New Roman"/>
          <w:sz w:val="24"/>
          <w:szCs w:val="24"/>
          <w:lang w:val="ro-RO"/>
        </w:rPr>
        <w:t xml:space="preserve"> </w:t>
      </w:r>
      <w:r w:rsidRPr="005B0FD8">
        <w:rPr>
          <w:rFonts w:ascii="Times New Roman" w:hAnsi="Times New Roman" w:cs="Times New Roman"/>
          <w:i/>
          <w:sz w:val="24"/>
          <w:szCs w:val="24"/>
          <w:lang w:val="ro-RO"/>
        </w:rPr>
        <w:t>asociație de circumscripție</w:t>
      </w:r>
      <w:r w:rsidRPr="005B0FD8">
        <w:rPr>
          <w:rFonts w:ascii="Times New Roman" w:hAnsi="Times New Roman" w:cs="Times New Roman"/>
          <w:sz w:val="24"/>
          <w:szCs w:val="24"/>
          <w:lang w:val="ro-RO"/>
        </w:rPr>
        <w:t xml:space="preserve"> ca în Finalnda,</w:t>
      </w:r>
      <w:r w:rsidRPr="005B0FD8">
        <w:rPr>
          <w:rStyle w:val="FootnoteReference"/>
          <w:rFonts w:ascii="Times New Roman" w:hAnsi="Times New Roman" w:cs="Times New Roman"/>
          <w:sz w:val="24"/>
          <w:szCs w:val="24"/>
          <w:lang w:val="ro-RO"/>
        </w:rPr>
        <w:footnoteReference w:id="35"/>
      </w:r>
      <w:r w:rsidRPr="005B0FD8">
        <w:rPr>
          <w:rFonts w:ascii="Times New Roman" w:hAnsi="Times New Roman" w:cs="Times New Roman"/>
          <w:sz w:val="24"/>
          <w:szCs w:val="24"/>
          <w:lang w:val="ro-RO"/>
        </w:rPr>
        <w:t xml:space="preserve"> în altele se numește </w:t>
      </w:r>
      <w:r w:rsidRPr="005B0FD8">
        <w:rPr>
          <w:rFonts w:ascii="Times New Roman" w:hAnsi="Times New Roman" w:cs="Times New Roman"/>
          <w:i/>
          <w:sz w:val="24"/>
          <w:szCs w:val="24"/>
          <w:lang w:val="ro-RO"/>
        </w:rPr>
        <w:t>asociație de votanți</w:t>
      </w:r>
      <w:r w:rsidRPr="005B0FD8">
        <w:rPr>
          <w:rFonts w:ascii="Times New Roman" w:hAnsi="Times New Roman" w:cs="Times New Roman"/>
          <w:sz w:val="24"/>
          <w:szCs w:val="24"/>
          <w:lang w:val="ro-RO"/>
        </w:rPr>
        <w:t xml:space="preserve">, iar în Polonia, </w:t>
      </w:r>
      <w:r w:rsidRPr="005B0FD8">
        <w:rPr>
          <w:rFonts w:ascii="Times New Roman" w:hAnsi="Times New Roman" w:cs="Times New Roman"/>
          <w:sz w:val="24"/>
          <w:szCs w:val="24"/>
          <w:lang w:val="ro-RO"/>
        </w:rPr>
        <w:lastRenderedPageBreak/>
        <w:t>bunăoară, poartă denumirea de comitet electoral al votanților ca în Polonia.</w:t>
      </w:r>
      <w:r w:rsidRPr="005B0FD8">
        <w:rPr>
          <w:rStyle w:val="FootnoteReference"/>
          <w:rFonts w:ascii="Times New Roman" w:hAnsi="Times New Roman" w:cs="Times New Roman"/>
          <w:sz w:val="24"/>
          <w:szCs w:val="24"/>
          <w:lang w:val="ro-RO"/>
        </w:rPr>
        <w:footnoteReference w:id="36"/>
      </w:r>
      <w:r>
        <w:rPr>
          <w:rFonts w:ascii="Times New Roman" w:hAnsi="Times New Roman" w:cs="Times New Roman"/>
          <w:sz w:val="24"/>
          <w:szCs w:val="24"/>
          <w:lang w:val="ro-RO"/>
        </w:rPr>
        <w:t xml:space="preserve"> În acest caz, nu avem de </w:t>
      </w:r>
      <w:r w:rsidRPr="005B0FD8">
        <w:rPr>
          <w:rFonts w:ascii="Times New Roman" w:hAnsi="Times New Roman" w:cs="Times New Roman"/>
          <w:sz w:val="24"/>
          <w:szCs w:val="24"/>
          <w:lang w:val="ro-RO"/>
        </w:rPr>
        <w:t xml:space="preserve">a face cu candidați independenți în mod clasic, inițiativa de a candida nu este constuită legal ca venind din partea unui cetățean, care apoi este nevoit sau nu să își caute sprijin pre-electoral pentru înscrierea la alegeri, ci acest tip prevedere pune în centru asociarea temporară a alegătorilor pentru a desemna un candidat, fără a achiesa </w:t>
      </w:r>
      <w:r>
        <w:rPr>
          <w:rFonts w:ascii="Times New Roman" w:hAnsi="Times New Roman" w:cs="Times New Roman"/>
          <w:sz w:val="24"/>
          <w:szCs w:val="24"/>
          <w:lang w:val="ro-RO"/>
        </w:rPr>
        <w:t xml:space="preserve">însă </w:t>
      </w:r>
      <w:r w:rsidRPr="005B0FD8">
        <w:rPr>
          <w:rFonts w:ascii="Times New Roman" w:hAnsi="Times New Roman" w:cs="Times New Roman"/>
          <w:sz w:val="24"/>
          <w:szCs w:val="24"/>
          <w:lang w:val="ro-RO"/>
        </w:rPr>
        <w:t xml:space="preserve">la o ideologie politică propriu-zisă, fiind vorba </w:t>
      </w:r>
      <w:r>
        <w:rPr>
          <w:rFonts w:ascii="Times New Roman" w:hAnsi="Times New Roman" w:cs="Times New Roman"/>
          <w:sz w:val="24"/>
          <w:szCs w:val="24"/>
          <w:lang w:val="ro-RO"/>
        </w:rPr>
        <w:t>aparent de un</w:t>
      </w:r>
      <w:r w:rsidRPr="005B0FD8">
        <w:rPr>
          <w:rFonts w:ascii="Times New Roman" w:hAnsi="Times New Roman" w:cs="Times New Roman"/>
          <w:sz w:val="24"/>
          <w:szCs w:val="24"/>
          <w:lang w:val="ro-RO"/>
        </w:rPr>
        <w:t xml:space="preserve"> partid politic temporar, constituit doar cu ocazia unor alegeri europarlamentare. Legile electorale din țările care permit acest tip de asociere temporară pentru a nominaliza candidați prevăd dizolvarea acestor asociații după încheierea procesului electoral. În majoritatea cazurilor din cele șapte, se solicită un număr mare de semnături, de ordinul miilor (trei țări) și zecilor de mii (patru țări). Croația (5,000 de alegători), Finlanda (2,000 de alegători), Lituania (10,000 de alegători), Italia (35,000 de alegători), Polonia (11,000 de alegători), Slovenia (3,000 de alegători) și Spania (15,000 de alegători) sunt țările care, deși nu permit candidaților independenți în sens clasic să candideze, permit însă votanților să susțină candidați proprii. Cu toate că această posibilitate de a candida nu este tocmai o formă clasică de a candida pentru independenți, așa cum precizează și rapoartele OSCE,</w:t>
      </w:r>
      <w:r w:rsidRPr="005B0FD8">
        <w:rPr>
          <w:rStyle w:val="FootnoteReference"/>
          <w:rFonts w:ascii="Times New Roman" w:hAnsi="Times New Roman" w:cs="Times New Roman"/>
          <w:sz w:val="24"/>
          <w:szCs w:val="24"/>
          <w:lang w:val="ro-RO"/>
        </w:rPr>
        <w:footnoteReference w:id="37"/>
      </w:r>
      <w:r w:rsidRPr="005B0FD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și, așa cum am spsu și mai sus, </w:t>
      </w:r>
      <w:r w:rsidRPr="005B0FD8">
        <w:rPr>
          <w:rFonts w:ascii="Times New Roman" w:hAnsi="Times New Roman" w:cs="Times New Roman"/>
          <w:sz w:val="24"/>
          <w:szCs w:val="24"/>
          <w:lang w:val="ro-RO"/>
        </w:rPr>
        <w:t>unele comisii electorale</w:t>
      </w:r>
      <w:r>
        <w:rPr>
          <w:rFonts w:ascii="Times New Roman" w:hAnsi="Times New Roman" w:cs="Times New Roman"/>
          <w:sz w:val="24"/>
          <w:szCs w:val="24"/>
          <w:lang w:val="ro-RO"/>
        </w:rPr>
        <w:t>,</w:t>
      </w:r>
      <w:r w:rsidRPr="005B0FD8">
        <w:rPr>
          <w:rFonts w:ascii="Times New Roman" w:hAnsi="Times New Roman" w:cs="Times New Roman"/>
          <w:sz w:val="24"/>
          <w:szCs w:val="24"/>
          <w:lang w:val="ro-RO"/>
        </w:rPr>
        <w:t xml:space="preserve"> la întrebărea adresată dacă pot sau nu candida independenți</w:t>
      </w:r>
      <w:r>
        <w:rPr>
          <w:rFonts w:ascii="Times New Roman" w:hAnsi="Times New Roman" w:cs="Times New Roman"/>
          <w:sz w:val="24"/>
          <w:szCs w:val="24"/>
          <w:lang w:val="ro-RO"/>
        </w:rPr>
        <w:t>,</w:t>
      </w:r>
      <w:r w:rsidRPr="005B0FD8">
        <w:rPr>
          <w:rFonts w:ascii="Times New Roman" w:hAnsi="Times New Roman" w:cs="Times New Roman"/>
          <w:sz w:val="24"/>
          <w:szCs w:val="24"/>
          <w:lang w:val="ro-RO"/>
        </w:rPr>
        <w:t xml:space="preserve"> au răspuns afirmativ, invocând a</w:t>
      </w:r>
      <w:r>
        <w:rPr>
          <w:rFonts w:ascii="Times New Roman" w:hAnsi="Times New Roman" w:cs="Times New Roman"/>
          <w:sz w:val="24"/>
          <w:szCs w:val="24"/>
          <w:lang w:val="ro-RO"/>
        </w:rPr>
        <w:t>ceastă posibilitate legală a vo</w:t>
      </w:r>
      <w:r w:rsidRPr="005B0FD8">
        <w:rPr>
          <w:rFonts w:ascii="Times New Roman" w:hAnsi="Times New Roman" w:cs="Times New Roman"/>
          <w:sz w:val="24"/>
          <w:szCs w:val="24"/>
          <w:lang w:val="ro-RO"/>
        </w:rPr>
        <w:t>t</w:t>
      </w:r>
      <w:r>
        <w:rPr>
          <w:rFonts w:ascii="Times New Roman" w:hAnsi="Times New Roman" w:cs="Times New Roman"/>
          <w:sz w:val="24"/>
          <w:szCs w:val="24"/>
          <w:lang w:val="ro-RO"/>
        </w:rPr>
        <w:t>a</w:t>
      </w:r>
      <w:r w:rsidRPr="005B0FD8">
        <w:rPr>
          <w:rFonts w:ascii="Times New Roman" w:hAnsi="Times New Roman" w:cs="Times New Roman"/>
          <w:sz w:val="24"/>
          <w:szCs w:val="24"/>
          <w:lang w:val="ro-RO"/>
        </w:rPr>
        <w:t>nților de a se asocia.</w:t>
      </w:r>
      <w:r w:rsidR="003F52F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Utilitatea acestui tip de asociație este aceea că permite reprezentarea locală, a unei comunități, pentru că acestea sunt de cele mai multe ori asociații locale. </w:t>
      </w:r>
    </w:p>
    <w:p w:rsidR="00DF3E58" w:rsidRPr="005B0FD8" w:rsidRDefault="00DF3E58" w:rsidP="002566BB">
      <w:pPr>
        <w:spacing w:after="0" w:line="240" w:lineRule="auto"/>
        <w:ind w:firstLine="720"/>
        <w:jc w:val="both"/>
        <w:rPr>
          <w:rFonts w:ascii="Times New Roman" w:hAnsi="Times New Roman" w:cs="Times New Roman"/>
          <w:sz w:val="24"/>
          <w:szCs w:val="24"/>
          <w:lang w:val="ro-RO"/>
        </w:rPr>
      </w:pPr>
      <w:r w:rsidRPr="005B0FD8">
        <w:rPr>
          <w:noProof/>
          <w:lang w:eastAsia="en-GB" w:bidi="te-IN"/>
        </w:rPr>
        <w:drawing>
          <wp:inline distT="0" distB="0" distL="0" distR="0" wp14:anchorId="38C1C8DB" wp14:editId="1A258A44">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3E58" w:rsidRPr="005B0FD8" w:rsidRDefault="00DF3E58" w:rsidP="002566BB">
      <w:pPr>
        <w:spacing w:after="0" w:line="240" w:lineRule="auto"/>
        <w:ind w:firstLine="720"/>
        <w:jc w:val="both"/>
        <w:rPr>
          <w:rFonts w:ascii="Times New Roman" w:hAnsi="Times New Roman" w:cs="Times New Roman"/>
          <w:sz w:val="24"/>
          <w:szCs w:val="24"/>
          <w:lang w:val="ro-RO"/>
        </w:rPr>
      </w:pPr>
    </w:p>
    <w:p w:rsidR="00A209AA" w:rsidRDefault="00A209AA" w:rsidP="002566BB">
      <w:pPr>
        <w:spacing w:after="0" w:line="240" w:lineRule="auto"/>
        <w:ind w:firstLine="720"/>
        <w:jc w:val="both"/>
        <w:rPr>
          <w:rFonts w:ascii="Times New Roman" w:hAnsi="Times New Roman" w:cs="Times New Roman"/>
          <w:sz w:val="24"/>
          <w:szCs w:val="24"/>
          <w:lang w:val="ro-RO"/>
        </w:rPr>
      </w:pPr>
    </w:p>
    <w:p w:rsidR="00A209AA" w:rsidRPr="00A209AA" w:rsidRDefault="00A209AA" w:rsidP="00A209AA">
      <w:pPr>
        <w:spacing w:after="0" w:line="240" w:lineRule="auto"/>
        <w:jc w:val="both"/>
        <w:rPr>
          <w:rFonts w:ascii="Times New Roman" w:hAnsi="Times New Roman" w:cs="Times New Roman"/>
          <w:i/>
          <w:iCs/>
          <w:sz w:val="24"/>
          <w:szCs w:val="24"/>
          <w:lang w:val="ro-RO"/>
        </w:rPr>
      </w:pPr>
      <w:r w:rsidRPr="00A209AA">
        <w:rPr>
          <w:rFonts w:ascii="Times New Roman" w:hAnsi="Times New Roman" w:cs="Times New Roman"/>
          <w:i/>
          <w:iCs/>
          <w:sz w:val="24"/>
          <w:szCs w:val="24"/>
          <w:lang w:val="ro-RO"/>
        </w:rPr>
        <w:t>Grafic. Condiții de înregistrare la alegeri pentru asociațiile de alegători</w:t>
      </w:r>
      <w:r>
        <w:rPr>
          <w:rFonts w:ascii="Times New Roman" w:hAnsi="Times New Roman" w:cs="Times New Roman"/>
          <w:i/>
          <w:iCs/>
          <w:sz w:val="24"/>
          <w:szCs w:val="24"/>
          <w:lang w:val="ro-RO"/>
        </w:rPr>
        <w:t xml:space="preserve"> în țările din UE</w:t>
      </w:r>
    </w:p>
    <w:p w:rsidR="00A209AA" w:rsidRDefault="00A209AA" w:rsidP="00A209AA">
      <w:pPr>
        <w:spacing w:after="0" w:line="240" w:lineRule="auto"/>
        <w:jc w:val="both"/>
        <w:rPr>
          <w:rFonts w:ascii="Times New Roman" w:hAnsi="Times New Roman" w:cs="Times New Roman"/>
          <w:sz w:val="24"/>
          <w:szCs w:val="24"/>
          <w:lang w:val="ro-RO"/>
        </w:rPr>
      </w:pPr>
    </w:p>
    <w:p w:rsidR="00BF534F" w:rsidRDefault="00DF3E58" w:rsidP="002566BB">
      <w:pPr>
        <w:spacing w:after="0" w:line="240" w:lineRule="auto"/>
        <w:ind w:firstLine="720"/>
        <w:jc w:val="both"/>
        <w:rPr>
          <w:rFonts w:ascii="Times New Roman" w:hAnsi="Times New Roman" w:cs="Times New Roman"/>
          <w:sz w:val="24"/>
          <w:szCs w:val="24"/>
          <w:lang w:val="ro-RO"/>
        </w:rPr>
      </w:pPr>
      <w:r w:rsidRPr="005B0FD8">
        <w:rPr>
          <w:rFonts w:ascii="Times New Roman" w:hAnsi="Times New Roman" w:cs="Times New Roman"/>
          <w:sz w:val="24"/>
          <w:szCs w:val="24"/>
          <w:lang w:val="ro-RO"/>
        </w:rPr>
        <w:t>Pentru asociațiile de alegători, condițiile sunt surprinse în graficul de</w:t>
      </w:r>
      <w:r w:rsidR="00491A95" w:rsidRPr="005B0FD8">
        <w:rPr>
          <w:rFonts w:ascii="Times New Roman" w:hAnsi="Times New Roman" w:cs="Times New Roman"/>
          <w:sz w:val="24"/>
          <w:szCs w:val="24"/>
          <w:lang w:val="ro-RO"/>
        </w:rPr>
        <w:t xml:space="preserve"> mai sus, unde se poate vedea că</w:t>
      </w:r>
      <w:r w:rsidRPr="005B0FD8">
        <w:rPr>
          <w:rFonts w:ascii="Times New Roman" w:hAnsi="Times New Roman" w:cs="Times New Roman"/>
          <w:sz w:val="24"/>
          <w:szCs w:val="24"/>
          <w:lang w:val="ro-RO"/>
        </w:rPr>
        <w:t xml:space="preserve"> Italia solicită cele mai multe semnături, la fel ca și pentru partidele politice, 35,000, dar și</w:t>
      </w:r>
      <w:r w:rsidR="00491A95" w:rsidRPr="005B0FD8">
        <w:rPr>
          <w:rFonts w:ascii="Times New Roman" w:hAnsi="Times New Roman" w:cs="Times New Roman"/>
          <w:sz w:val="24"/>
          <w:szCs w:val="24"/>
          <w:lang w:val="ro-RO"/>
        </w:rPr>
        <w:t xml:space="preserve"> că</w:t>
      </w:r>
      <w:r w:rsidRPr="005B0FD8">
        <w:rPr>
          <w:rFonts w:ascii="Times New Roman" w:hAnsi="Times New Roman" w:cs="Times New Roman"/>
          <w:sz w:val="24"/>
          <w:szCs w:val="24"/>
          <w:lang w:val="ro-RO"/>
        </w:rPr>
        <w:t xml:space="preserve"> Lituania practic</w:t>
      </w:r>
      <w:r w:rsidR="00491A95" w:rsidRPr="005B0FD8">
        <w:rPr>
          <w:rFonts w:ascii="Times New Roman" w:hAnsi="Times New Roman" w:cs="Times New Roman"/>
          <w:sz w:val="24"/>
          <w:szCs w:val="24"/>
          <w:lang w:val="ro-RO"/>
        </w:rPr>
        <w:t xml:space="preserve">ă două </w:t>
      </w:r>
      <w:r w:rsidRPr="005B0FD8">
        <w:rPr>
          <w:rFonts w:ascii="Times New Roman" w:hAnsi="Times New Roman" w:cs="Times New Roman"/>
          <w:sz w:val="24"/>
          <w:szCs w:val="24"/>
          <w:lang w:val="ro-RO"/>
        </w:rPr>
        <w:t>condiții</w:t>
      </w:r>
      <w:r w:rsidR="008B2FF9" w:rsidRPr="005B0FD8">
        <w:rPr>
          <w:rFonts w:ascii="Times New Roman" w:hAnsi="Times New Roman" w:cs="Times New Roman"/>
          <w:sz w:val="24"/>
          <w:szCs w:val="24"/>
          <w:lang w:val="ro-RO"/>
        </w:rPr>
        <w:t xml:space="preserve"> destul de</w:t>
      </w:r>
      <w:r w:rsidRPr="005B0FD8">
        <w:rPr>
          <w:rFonts w:ascii="Times New Roman" w:hAnsi="Times New Roman" w:cs="Times New Roman"/>
          <w:sz w:val="24"/>
          <w:szCs w:val="24"/>
          <w:lang w:val="ro-RO"/>
        </w:rPr>
        <w:t xml:space="preserve"> restrictive, cu </w:t>
      </w:r>
      <w:r w:rsidR="00CC1627" w:rsidRPr="005B0FD8">
        <w:rPr>
          <w:rFonts w:ascii="Times New Roman" w:hAnsi="Times New Roman" w:cs="Times New Roman"/>
          <w:sz w:val="24"/>
          <w:szCs w:val="24"/>
          <w:lang w:val="ro-RO"/>
        </w:rPr>
        <w:t>10,000 de semnături</w:t>
      </w:r>
      <w:r w:rsidR="008B2FF9" w:rsidRPr="005B0FD8">
        <w:rPr>
          <w:rFonts w:ascii="Times New Roman" w:hAnsi="Times New Roman" w:cs="Times New Roman"/>
          <w:sz w:val="24"/>
          <w:szCs w:val="24"/>
          <w:lang w:val="ro-RO"/>
        </w:rPr>
        <w:t xml:space="preserve"> de înființate a unei asociații de alegători</w:t>
      </w:r>
      <w:r w:rsidR="00CC1627" w:rsidRPr="005B0FD8">
        <w:rPr>
          <w:rFonts w:ascii="Times New Roman" w:hAnsi="Times New Roman" w:cs="Times New Roman"/>
          <w:sz w:val="24"/>
          <w:szCs w:val="24"/>
          <w:lang w:val="ro-RO"/>
        </w:rPr>
        <w:t xml:space="preserve"> și 9,350 de euro depozit</w:t>
      </w:r>
      <w:r w:rsidR="00BF534F">
        <w:rPr>
          <w:rFonts w:ascii="Times New Roman" w:hAnsi="Times New Roman" w:cs="Times New Roman"/>
          <w:sz w:val="24"/>
          <w:szCs w:val="24"/>
          <w:lang w:val="ro-RO"/>
        </w:rPr>
        <w:t>.</w:t>
      </w:r>
    </w:p>
    <w:p w:rsidR="00BF534F" w:rsidRDefault="00BF534F" w:rsidP="00BF534F">
      <w:pPr>
        <w:spacing w:after="0" w:line="240" w:lineRule="auto"/>
        <w:jc w:val="both"/>
        <w:rPr>
          <w:rFonts w:ascii="Times New Roman" w:hAnsi="Times New Roman" w:cs="Times New Roman"/>
          <w:sz w:val="24"/>
          <w:szCs w:val="24"/>
          <w:lang w:val="ro-RO"/>
        </w:rPr>
      </w:pPr>
    </w:p>
    <w:p w:rsidR="00BF534F" w:rsidRDefault="006D02E1" w:rsidP="00BF534F">
      <w:pPr>
        <w:spacing w:after="0" w:line="240" w:lineRule="auto"/>
        <w:jc w:val="both"/>
        <w:rPr>
          <w:rFonts w:ascii="Times New Roman" w:hAnsi="Times New Roman" w:cs="Times New Roman"/>
          <w:b/>
          <w:bCs/>
          <w:sz w:val="24"/>
          <w:szCs w:val="24"/>
          <w:lang w:val="ro-RO"/>
        </w:rPr>
      </w:pPr>
      <w:r w:rsidRPr="006D02E1">
        <w:rPr>
          <w:rFonts w:ascii="Times New Roman" w:hAnsi="Times New Roman" w:cs="Times New Roman"/>
          <w:b/>
          <w:bCs/>
          <w:i/>
          <w:iCs/>
          <w:sz w:val="24"/>
          <w:szCs w:val="24"/>
          <w:lang w:val="ro-RO"/>
        </w:rPr>
        <w:t>4.5.</w:t>
      </w:r>
      <w:r w:rsidR="00BF534F" w:rsidRPr="006D02E1">
        <w:rPr>
          <w:rFonts w:ascii="Times New Roman" w:hAnsi="Times New Roman" w:cs="Times New Roman"/>
          <w:b/>
          <w:bCs/>
          <w:i/>
          <w:iCs/>
          <w:sz w:val="24"/>
          <w:szCs w:val="24"/>
          <w:lang w:val="ro-RO"/>
        </w:rPr>
        <w:t>Condiții alternative de înregistrare a candidaților (altele decât semnături și depozit în bani)</w:t>
      </w:r>
      <w:r w:rsidR="00CC1627" w:rsidRPr="006D02E1">
        <w:rPr>
          <w:rFonts w:ascii="Times New Roman" w:hAnsi="Times New Roman" w:cs="Times New Roman"/>
          <w:b/>
          <w:bCs/>
          <w:i/>
          <w:iCs/>
          <w:sz w:val="24"/>
          <w:szCs w:val="24"/>
          <w:lang w:val="ro-RO"/>
        </w:rPr>
        <w:t xml:space="preserve"> </w:t>
      </w:r>
    </w:p>
    <w:p w:rsidR="00BF534F" w:rsidRPr="00BF534F" w:rsidRDefault="00BF534F" w:rsidP="00BF534F">
      <w:pPr>
        <w:spacing w:after="0" w:line="240" w:lineRule="auto"/>
        <w:ind w:firstLine="720"/>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lastRenderedPageBreak/>
        <w:t xml:space="preserve">În afară de condițiile constând în bani și/sau semnături, unele țări practică condiții de înregistrare alternative, care favorizează partidele deja câștigătoare, fie la alegerile europarlamentare, fie la alegerile pentru parlamentele naționale. </w:t>
      </w:r>
    </w:p>
    <w:p w:rsidR="003F0D20" w:rsidRPr="00835AEB" w:rsidRDefault="003F0D20" w:rsidP="00BF534F">
      <w:pPr>
        <w:spacing w:after="0" w:line="240" w:lineRule="auto"/>
        <w:jc w:val="both"/>
        <w:rPr>
          <w:rFonts w:ascii="Times New Roman" w:hAnsi="Times New Roman" w:cs="Times New Roman"/>
          <w:sz w:val="18"/>
          <w:szCs w:val="18"/>
          <w:lang w:val="ro-RO"/>
        </w:rPr>
      </w:pPr>
    </w:p>
    <w:p w:rsidR="003F0D20" w:rsidRPr="00835AEB" w:rsidRDefault="003F0D20" w:rsidP="002566BB">
      <w:pPr>
        <w:spacing w:after="0" w:line="240" w:lineRule="auto"/>
        <w:ind w:firstLine="720"/>
        <w:jc w:val="both"/>
        <w:rPr>
          <w:rFonts w:ascii="Times New Roman" w:hAnsi="Times New Roman" w:cs="Times New Roman"/>
          <w:sz w:val="18"/>
          <w:szCs w:val="18"/>
          <w:lang w:val="ro-RO"/>
        </w:rPr>
      </w:pPr>
    </w:p>
    <w:tbl>
      <w:tblPr>
        <w:tblStyle w:val="TableGrid"/>
        <w:tblW w:w="0" w:type="auto"/>
        <w:tblLook w:val="04A0" w:firstRow="1" w:lastRow="0" w:firstColumn="1" w:lastColumn="0" w:noHBand="0" w:noVBand="1"/>
      </w:tblPr>
      <w:tblGrid>
        <w:gridCol w:w="421"/>
        <w:gridCol w:w="1417"/>
        <w:gridCol w:w="3260"/>
      </w:tblGrid>
      <w:tr w:rsidR="004751F4" w:rsidRPr="00835AEB" w:rsidTr="004751F4">
        <w:tc>
          <w:tcPr>
            <w:tcW w:w="421" w:type="dxa"/>
          </w:tcPr>
          <w:p w:rsidR="004751F4" w:rsidRPr="00835AEB" w:rsidRDefault="004751F4" w:rsidP="002566BB">
            <w:pPr>
              <w:jc w:val="both"/>
              <w:rPr>
                <w:rFonts w:ascii="Times New Roman" w:hAnsi="Times New Roman" w:cs="Times New Roman"/>
                <w:sz w:val="18"/>
                <w:szCs w:val="18"/>
                <w:lang w:val="ro-RO"/>
              </w:rPr>
            </w:pPr>
          </w:p>
        </w:tc>
        <w:tc>
          <w:tcPr>
            <w:tcW w:w="1417" w:type="dxa"/>
          </w:tcPr>
          <w:p w:rsidR="004751F4" w:rsidRPr="00835AEB" w:rsidRDefault="004751F4" w:rsidP="002566BB">
            <w:pPr>
              <w:jc w:val="both"/>
              <w:rPr>
                <w:rFonts w:ascii="Times New Roman" w:hAnsi="Times New Roman" w:cs="Times New Roman"/>
                <w:b/>
                <w:sz w:val="18"/>
                <w:szCs w:val="18"/>
                <w:lang w:val="ro-RO"/>
              </w:rPr>
            </w:pPr>
            <w:r w:rsidRPr="00835AEB">
              <w:rPr>
                <w:rFonts w:ascii="Times New Roman" w:hAnsi="Times New Roman" w:cs="Times New Roman"/>
                <w:b/>
                <w:sz w:val="18"/>
                <w:szCs w:val="18"/>
                <w:lang w:val="ro-RO"/>
              </w:rPr>
              <w:t>Țară</w:t>
            </w:r>
          </w:p>
        </w:tc>
        <w:tc>
          <w:tcPr>
            <w:tcW w:w="3260" w:type="dxa"/>
          </w:tcPr>
          <w:p w:rsidR="004751F4" w:rsidRPr="00835AEB" w:rsidRDefault="004751F4" w:rsidP="002566BB">
            <w:pPr>
              <w:jc w:val="both"/>
              <w:rPr>
                <w:rFonts w:ascii="Times New Roman" w:hAnsi="Times New Roman" w:cs="Times New Roman"/>
                <w:b/>
                <w:sz w:val="18"/>
                <w:szCs w:val="18"/>
                <w:lang w:val="ro-RO"/>
              </w:rPr>
            </w:pPr>
            <w:r w:rsidRPr="00835AEB">
              <w:rPr>
                <w:rFonts w:ascii="Times New Roman" w:hAnsi="Times New Roman" w:cs="Times New Roman"/>
                <w:b/>
                <w:sz w:val="18"/>
                <w:szCs w:val="18"/>
                <w:lang w:val="ro-RO"/>
              </w:rPr>
              <w:t>Condiții alternative de înscriere</w:t>
            </w:r>
          </w:p>
        </w:tc>
      </w:tr>
      <w:tr w:rsidR="004751F4" w:rsidRPr="00835AEB" w:rsidTr="004751F4">
        <w:tc>
          <w:tcPr>
            <w:tcW w:w="421"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1.</w:t>
            </w:r>
          </w:p>
        </w:tc>
        <w:tc>
          <w:tcPr>
            <w:tcW w:w="1417"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Austria</w:t>
            </w:r>
          </w:p>
        </w:tc>
        <w:tc>
          <w:tcPr>
            <w:tcW w:w="3260" w:type="dxa"/>
          </w:tcPr>
          <w:p w:rsidR="004751F4" w:rsidRPr="00835AEB" w:rsidRDefault="00872AAD"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3MP sau 1M</w:t>
            </w:r>
            <w:r w:rsidR="004751F4" w:rsidRPr="00835AEB">
              <w:rPr>
                <w:rFonts w:ascii="Times New Roman" w:hAnsi="Times New Roman" w:cs="Times New Roman"/>
                <w:sz w:val="18"/>
                <w:szCs w:val="18"/>
                <w:lang w:val="ro-RO"/>
              </w:rPr>
              <w:t>P</w:t>
            </w:r>
            <w:r w:rsidRPr="00835AEB">
              <w:rPr>
                <w:rFonts w:ascii="Times New Roman" w:hAnsi="Times New Roman" w:cs="Times New Roman"/>
                <w:sz w:val="18"/>
                <w:szCs w:val="18"/>
                <w:lang w:val="ro-RO"/>
              </w:rPr>
              <w:t>E</w:t>
            </w:r>
          </w:p>
        </w:tc>
      </w:tr>
      <w:tr w:rsidR="004751F4" w:rsidRPr="00835AEB" w:rsidTr="004751F4">
        <w:tc>
          <w:tcPr>
            <w:tcW w:w="421"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2.</w:t>
            </w:r>
          </w:p>
        </w:tc>
        <w:tc>
          <w:tcPr>
            <w:tcW w:w="1417"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Belgia</w:t>
            </w:r>
          </w:p>
        </w:tc>
        <w:tc>
          <w:tcPr>
            <w:tcW w:w="3260"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5MP</w:t>
            </w:r>
          </w:p>
        </w:tc>
      </w:tr>
      <w:tr w:rsidR="004751F4" w:rsidRPr="00835AEB" w:rsidTr="004751F4">
        <w:tc>
          <w:tcPr>
            <w:tcW w:w="421"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3.</w:t>
            </w:r>
          </w:p>
        </w:tc>
        <w:tc>
          <w:tcPr>
            <w:tcW w:w="1417"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Danemarca</w:t>
            </w:r>
          </w:p>
        </w:tc>
        <w:tc>
          <w:tcPr>
            <w:tcW w:w="3260"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1MP ș</w:t>
            </w:r>
            <w:r w:rsidR="00872AAD" w:rsidRPr="00835AEB">
              <w:rPr>
                <w:rFonts w:ascii="Times New Roman" w:hAnsi="Times New Roman" w:cs="Times New Roman"/>
                <w:sz w:val="18"/>
                <w:szCs w:val="18"/>
                <w:lang w:val="ro-RO"/>
              </w:rPr>
              <w:t>i 1MPE</w:t>
            </w:r>
          </w:p>
        </w:tc>
      </w:tr>
      <w:tr w:rsidR="004751F4" w:rsidRPr="00835AEB" w:rsidTr="004751F4">
        <w:tc>
          <w:tcPr>
            <w:tcW w:w="421"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4.</w:t>
            </w:r>
          </w:p>
        </w:tc>
        <w:tc>
          <w:tcPr>
            <w:tcW w:w="1417"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 xml:space="preserve">Germania </w:t>
            </w:r>
          </w:p>
        </w:tc>
        <w:tc>
          <w:tcPr>
            <w:tcW w:w="3260" w:type="dxa"/>
          </w:tcPr>
          <w:p w:rsidR="004751F4" w:rsidRPr="00835AEB" w:rsidRDefault="00872AAD"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5MP sau 5M</w:t>
            </w:r>
            <w:r w:rsidR="004751F4" w:rsidRPr="00835AEB">
              <w:rPr>
                <w:rFonts w:ascii="Times New Roman" w:hAnsi="Times New Roman" w:cs="Times New Roman"/>
                <w:sz w:val="18"/>
                <w:szCs w:val="18"/>
                <w:lang w:val="ro-RO"/>
              </w:rPr>
              <w:t>P</w:t>
            </w:r>
            <w:r w:rsidRPr="00835AEB">
              <w:rPr>
                <w:rFonts w:ascii="Times New Roman" w:hAnsi="Times New Roman" w:cs="Times New Roman"/>
                <w:sz w:val="18"/>
                <w:szCs w:val="18"/>
                <w:lang w:val="ro-RO"/>
              </w:rPr>
              <w:t>E</w:t>
            </w:r>
          </w:p>
        </w:tc>
      </w:tr>
      <w:tr w:rsidR="004751F4" w:rsidRPr="00835AEB" w:rsidTr="004751F4">
        <w:tc>
          <w:tcPr>
            <w:tcW w:w="421"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5.</w:t>
            </w:r>
          </w:p>
        </w:tc>
        <w:tc>
          <w:tcPr>
            <w:tcW w:w="1417"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Irlanda</w:t>
            </w:r>
          </w:p>
        </w:tc>
        <w:tc>
          <w:tcPr>
            <w:tcW w:w="3260"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1MP sau 1</w:t>
            </w:r>
            <w:r w:rsidR="00872AAD" w:rsidRPr="00835AEB">
              <w:rPr>
                <w:rFonts w:ascii="Times New Roman" w:hAnsi="Times New Roman" w:cs="Times New Roman"/>
                <w:sz w:val="18"/>
                <w:szCs w:val="18"/>
                <w:lang w:val="ro-RO"/>
              </w:rPr>
              <w:t>MPE</w:t>
            </w:r>
          </w:p>
        </w:tc>
      </w:tr>
      <w:tr w:rsidR="004751F4" w:rsidRPr="00835AEB" w:rsidTr="004751F4">
        <w:tc>
          <w:tcPr>
            <w:tcW w:w="421"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6.</w:t>
            </w:r>
          </w:p>
        </w:tc>
        <w:tc>
          <w:tcPr>
            <w:tcW w:w="1417"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Italia</w:t>
            </w:r>
          </w:p>
        </w:tc>
        <w:tc>
          <w:tcPr>
            <w:tcW w:w="3260" w:type="dxa"/>
          </w:tcPr>
          <w:p w:rsidR="004751F4" w:rsidRPr="00835AEB" w:rsidRDefault="00872AAD"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1MP sau 1MPE</w:t>
            </w:r>
          </w:p>
        </w:tc>
      </w:tr>
      <w:tr w:rsidR="004751F4" w:rsidRPr="00835AEB" w:rsidTr="00E14A8A">
        <w:trPr>
          <w:trHeight w:val="97"/>
        </w:trPr>
        <w:tc>
          <w:tcPr>
            <w:tcW w:w="421"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7.</w:t>
            </w:r>
          </w:p>
        </w:tc>
        <w:tc>
          <w:tcPr>
            <w:tcW w:w="1417" w:type="dxa"/>
          </w:tcPr>
          <w:p w:rsidR="004751F4" w:rsidRPr="00835AEB" w:rsidRDefault="004751F4"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Luxemburg</w:t>
            </w:r>
          </w:p>
        </w:tc>
        <w:tc>
          <w:tcPr>
            <w:tcW w:w="3260" w:type="dxa"/>
          </w:tcPr>
          <w:p w:rsidR="004751F4" w:rsidRPr="00835AEB" w:rsidRDefault="00872AAD" w:rsidP="002566BB">
            <w:pPr>
              <w:jc w:val="both"/>
              <w:rPr>
                <w:rFonts w:ascii="Times New Roman" w:hAnsi="Times New Roman" w:cs="Times New Roman"/>
                <w:sz w:val="18"/>
                <w:szCs w:val="18"/>
                <w:lang w:val="ro-RO"/>
              </w:rPr>
            </w:pPr>
            <w:r w:rsidRPr="00835AEB">
              <w:rPr>
                <w:rFonts w:ascii="Times New Roman" w:hAnsi="Times New Roman" w:cs="Times New Roman"/>
                <w:sz w:val="18"/>
                <w:szCs w:val="18"/>
                <w:lang w:val="ro-RO"/>
              </w:rPr>
              <w:t>1MP sau 1MPE</w:t>
            </w:r>
          </w:p>
        </w:tc>
      </w:tr>
    </w:tbl>
    <w:p w:rsidR="003F0D20" w:rsidRDefault="003F0D20" w:rsidP="002566BB">
      <w:pPr>
        <w:spacing w:after="0" w:line="240" w:lineRule="auto"/>
        <w:jc w:val="both"/>
        <w:rPr>
          <w:rFonts w:ascii="Times New Roman" w:hAnsi="Times New Roman" w:cs="Times New Roman"/>
          <w:sz w:val="24"/>
          <w:szCs w:val="24"/>
          <w:lang w:val="ro-RO"/>
        </w:rPr>
      </w:pPr>
    </w:p>
    <w:p w:rsidR="00C348E6" w:rsidRPr="00CC1474" w:rsidRDefault="00C348E6" w:rsidP="002566BB">
      <w:pPr>
        <w:spacing w:after="0" w:line="240" w:lineRule="auto"/>
        <w:jc w:val="both"/>
        <w:rPr>
          <w:rFonts w:ascii="Times New Roman" w:hAnsi="Times New Roman" w:cs="Times New Roman"/>
          <w:i/>
          <w:iCs/>
          <w:sz w:val="24"/>
          <w:szCs w:val="24"/>
          <w:lang w:val="ro-RO"/>
        </w:rPr>
      </w:pPr>
      <w:r w:rsidRPr="00CC1474">
        <w:rPr>
          <w:rFonts w:ascii="Times New Roman" w:hAnsi="Times New Roman" w:cs="Times New Roman"/>
          <w:i/>
          <w:iCs/>
          <w:sz w:val="24"/>
          <w:szCs w:val="24"/>
          <w:lang w:val="ro-RO"/>
        </w:rPr>
        <w:t>Tabel 3. Posibilitatea partidelor deja câștigătoare</w:t>
      </w:r>
      <w:r w:rsidR="009A409E" w:rsidRPr="00CC1474">
        <w:rPr>
          <w:rFonts w:ascii="Times New Roman" w:hAnsi="Times New Roman" w:cs="Times New Roman"/>
          <w:i/>
          <w:iCs/>
          <w:sz w:val="24"/>
          <w:szCs w:val="24"/>
          <w:lang w:val="ro-RO"/>
        </w:rPr>
        <w:t xml:space="preserve"> (europarlamentare și/sau parlamentare) de a candida</w:t>
      </w:r>
      <w:r w:rsidR="00895703">
        <w:rPr>
          <w:rFonts w:ascii="Times New Roman" w:hAnsi="Times New Roman" w:cs="Times New Roman"/>
          <w:i/>
          <w:iCs/>
          <w:sz w:val="24"/>
          <w:szCs w:val="24"/>
          <w:lang w:val="ro-RO"/>
        </w:rPr>
        <w:t xml:space="preserve"> fără </w:t>
      </w:r>
      <w:r w:rsidR="00676A65">
        <w:rPr>
          <w:rFonts w:ascii="Times New Roman" w:hAnsi="Times New Roman" w:cs="Times New Roman"/>
          <w:i/>
          <w:iCs/>
          <w:sz w:val="24"/>
          <w:szCs w:val="24"/>
          <w:lang w:val="ro-RO"/>
        </w:rPr>
        <w:t xml:space="preserve">a îndeplini alte </w:t>
      </w:r>
      <w:r w:rsidR="00895703">
        <w:rPr>
          <w:rFonts w:ascii="Times New Roman" w:hAnsi="Times New Roman" w:cs="Times New Roman"/>
          <w:i/>
          <w:iCs/>
          <w:sz w:val="24"/>
          <w:szCs w:val="24"/>
          <w:lang w:val="ro-RO"/>
        </w:rPr>
        <w:t>condiții</w:t>
      </w:r>
      <w:r w:rsidR="00971A1F">
        <w:rPr>
          <w:rFonts w:ascii="Times New Roman" w:hAnsi="Times New Roman" w:cs="Times New Roman"/>
          <w:i/>
          <w:iCs/>
          <w:sz w:val="24"/>
          <w:szCs w:val="24"/>
          <w:lang w:val="ro-RO"/>
        </w:rPr>
        <w:t xml:space="preserve"> </w:t>
      </w:r>
      <w:r w:rsidR="00971A1F" w:rsidRPr="00971A1F">
        <w:rPr>
          <w:rFonts w:ascii="Times New Roman" w:hAnsi="Times New Roman" w:cs="Times New Roman"/>
          <w:sz w:val="24"/>
          <w:szCs w:val="24"/>
          <w:lang w:val="ro-RO"/>
        </w:rPr>
        <w:t>(MP =</w:t>
      </w:r>
      <w:r w:rsidR="00971A1F">
        <w:rPr>
          <w:rFonts w:ascii="Times New Roman" w:hAnsi="Times New Roman" w:cs="Times New Roman"/>
          <w:sz w:val="24"/>
          <w:szCs w:val="24"/>
          <w:lang w:val="ro-RO"/>
        </w:rPr>
        <w:t xml:space="preserve"> </w:t>
      </w:r>
      <w:r w:rsidR="00971A1F" w:rsidRPr="00971A1F">
        <w:rPr>
          <w:rFonts w:ascii="Times New Roman" w:hAnsi="Times New Roman" w:cs="Times New Roman"/>
          <w:sz w:val="24"/>
          <w:szCs w:val="24"/>
          <w:lang w:val="ro-RO"/>
        </w:rPr>
        <w:t>membru al parlamentului național, MPE = membru al Parlamentului European)</w:t>
      </w:r>
    </w:p>
    <w:p w:rsidR="00C348E6" w:rsidRDefault="00C348E6" w:rsidP="00C348E6">
      <w:pPr>
        <w:spacing w:after="0" w:line="240" w:lineRule="auto"/>
        <w:ind w:firstLine="720"/>
        <w:jc w:val="both"/>
        <w:rPr>
          <w:rFonts w:ascii="Times New Roman" w:hAnsi="Times New Roman" w:cs="Times New Roman"/>
          <w:sz w:val="24"/>
          <w:szCs w:val="24"/>
          <w:lang w:val="ro-RO"/>
        </w:rPr>
      </w:pPr>
    </w:p>
    <w:p w:rsidR="00C348E6" w:rsidRPr="00973027" w:rsidRDefault="0077155B" w:rsidP="0077155B">
      <w:pPr>
        <w:spacing w:after="0" w:line="240" w:lineRule="auto"/>
        <w:ind w:firstLine="720"/>
        <w:jc w:val="both"/>
        <w:rPr>
          <w:rFonts w:ascii="Times New Roman" w:hAnsi="Times New Roman" w:cs="Times New Roman"/>
          <w:sz w:val="24"/>
          <w:szCs w:val="24"/>
          <w:lang w:val="ro-RO"/>
        </w:rPr>
      </w:pPr>
      <w:r w:rsidRPr="00973027">
        <w:rPr>
          <w:rFonts w:ascii="Times New Roman" w:hAnsi="Times New Roman" w:cs="Times New Roman"/>
          <w:sz w:val="24"/>
          <w:szCs w:val="24"/>
          <w:lang w:val="ro-RO"/>
        </w:rPr>
        <w:t>După cum se poate vedea</w:t>
      </w:r>
      <w:r>
        <w:rPr>
          <w:rFonts w:ascii="Times New Roman" w:hAnsi="Times New Roman" w:cs="Times New Roman"/>
          <w:sz w:val="24"/>
          <w:szCs w:val="24"/>
          <w:lang w:val="ro-RO"/>
        </w:rPr>
        <w:t>,</w:t>
      </w:r>
      <w:r w:rsidRPr="00973027">
        <w:rPr>
          <w:rFonts w:ascii="Times New Roman" w:hAnsi="Times New Roman" w:cs="Times New Roman"/>
          <w:sz w:val="24"/>
          <w:szCs w:val="24"/>
          <w:lang w:val="ro-RO"/>
        </w:rPr>
        <w:t xml:space="preserve"> șapte țări</w:t>
      </w:r>
      <w:r>
        <w:rPr>
          <w:rFonts w:ascii="Times New Roman" w:hAnsi="Times New Roman" w:cs="Times New Roman"/>
          <w:sz w:val="24"/>
          <w:szCs w:val="24"/>
          <w:lang w:val="ro-RO"/>
        </w:rPr>
        <w:t>,</w:t>
      </w:r>
      <w:r w:rsidRPr="00973027">
        <w:rPr>
          <w:rFonts w:ascii="Times New Roman" w:hAnsi="Times New Roman" w:cs="Times New Roman"/>
          <w:sz w:val="24"/>
          <w:szCs w:val="24"/>
          <w:lang w:val="ro-RO"/>
        </w:rPr>
        <w:t xml:space="preserve"> Austria, Belgia, Danemarca, Germania, Irlanda, Italia și Luxemburg</w:t>
      </w:r>
      <w:r>
        <w:rPr>
          <w:rFonts w:ascii="Times New Roman" w:hAnsi="Times New Roman" w:cs="Times New Roman"/>
          <w:sz w:val="24"/>
          <w:szCs w:val="24"/>
          <w:lang w:val="ro-RO"/>
        </w:rPr>
        <w:t>,</w:t>
      </w:r>
      <w:r w:rsidRPr="00973027">
        <w:rPr>
          <w:rFonts w:ascii="Times New Roman" w:hAnsi="Times New Roman" w:cs="Times New Roman"/>
          <w:sz w:val="24"/>
          <w:szCs w:val="24"/>
          <w:lang w:val="ro-RO"/>
        </w:rPr>
        <w:t xml:space="preserve"> oferă partidelor deja reprezentate în Parlamentul național și/sau în Parlamentul European posib</w:t>
      </w:r>
      <w:r>
        <w:rPr>
          <w:rFonts w:ascii="Times New Roman" w:hAnsi="Times New Roman" w:cs="Times New Roman"/>
          <w:sz w:val="24"/>
          <w:szCs w:val="24"/>
          <w:lang w:val="ro-RO"/>
        </w:rPr>
        <w:t xml:space="preserve">ilitatea de a se înscrie fără a fi </w:t>
      </w:r>
      <w:r w:rsidRPr="00973027">
        <w:rPr>
          <w:rFonts w:ascii="Times New Roman" w:hAnsi="Times New Roman" w:cs="Times New Roman"/>
          <w:sz w:val="24"/>
          <w:szCs w:val="24"/>
          <w:lang w:val="ro-RO"/>
        </w:rPr>
        <w:t>nevoite să colecteze semnături sau să depună vreun depozit în bani. Dat fiind aceste condiții alternative de înscriere, partidele deja reprezentate sunt favorizate. De remarcat este faptul că toate ace</w:t>
      </w:r>
      <w:r>
        <w:rPr>
          <w:rFonts w:ascii="Times New Roman" w:hAnsi="Times New Roman" w:cs="Times New Roman"/>
          <w:sz w:val="24"/>
          <w:szCs w:val="24"/>
          <w:lang w:val="ro-RO"/>
        </w:rPr>
        <w:t xml:space="preserve">ste țări sunt democrații vechi. </w:t>
      </w:r>
      <w:r w:rsidR="00C348E6" w:rsidRPr="00973027">
        <w:rPr>
          <w:rFonts w:ascii="Times New Roman" w:hAnsi="Times New Roman" w:cs="Times New Roman"/>
          <w:sz w:val="24"/>
          <w:szCs w:val="24"/>
          <w:lang w:val="ro-RO"/>
        </w:rPr>
        <w:t>Germania aplică cele mai restrictive condiții alternative de cinci membri ai par</w:t>
      </w:r>
      <w:r w:rsidR="007D732B">
        <w:rPr>
          <w:rFonts w:ascii="Times New Roman" w:hAnsi="Times New Roman" w:cs="Times New Roman"/>
          <w:sz w:val="24"/>
          <w:szCs w:val="24"/>
          <w:lang w:val="ro-RO"/>
        </w:rPr>
        <w:t>la</w:t>
      </w:r>
      <w:r w:rsidR="00C348E6" w:rsidRPr="00973027">
        <w:rPr>
          <w:rFonts w:ascii="Times New Roman" w:hAnsi="Times New Roman" w:cs="Times New Roman"/>
          <w:sz w:val="24"/>
          <w:szCs w:val="24"/>
          <w:lang w:val="ro-RO"/>
        </w:rPr>
        <w:t>mentulu</w:t>
      </w:r>
      <w:r w:rsidR="00155427">
        <w:rPr>
          <w:rFonts w:ascii="Times New Roman" w:hAnsi="Times New Roman" w:cs="Times New Roman"/>
          <w:sz w:val="24"/>
          <w:szCs w:val="24"/>
          <w:lang w:val="ro-RO"/>
        </w:rPr>
        <w:t>i național sau cinci membri ai P</w:t>
      </w:r>
      <w:r w:rsidR="00C348E6" w:rsidRPr="00973027">
        <w:rPr>
          <w:rFonts w:ascii="Times New Roman" w:hAnsi="Times New Roman" w:cs="Times New Roman"/>
          <w:sz w:val="24"/>
          <w:szCs w:val="24"/>
          <w:lang w:val="ro-RO"/>
        </w:rPr>
        <w:t xml:space="preserve">arlamentului european. </w:t>
      </w:r>
    </w:p>
    <w:p w:rsidR="001C327F" w:rsidRPr="00973027" w:rsidRDefault="001C327F" w:rsidP="002566BB">
      <w:pPr>
        <w:spacing w:after="0" w:line="240" w:lineRule="auto"/>
        <w:ind w:firstLine="720"/>
        <w:jc w:val="both"/>
        <w:rPr>
          <w:rFonts w:ascii="Times New Roman" w:hAnsi="Times New Roman" w:cs="Times New Roman"/>
          <w:sz w:val="24"/>
          <w:szCs w:val="24"/>
          <w:lang w:val="ro-RO"/>
        </w:rPr>
      </w:pPr>
    </w:p>
    <w:p w:rsidR="001C327F" w:rsidRDefault="007833D1" w:rsidP="006D02E1">
      <w:pPr>
        <w:pStyle w:val="ListParagraph"/>
        <w:numPr>
          <w:ilvl w:val="0"/>
          <w:numId w:val="9"/>
        </w:numPr>
        <w:spacing w:after="0" w:line="240" w:lineRule="auto"/>
        <w:jc w:val="both"/>
        <w:rPr>
          <w:rFonts w:ascii="Times New Roman" w:hAnsi="Times New Roman" w:cs="Times New Roman"/>
          <w:b/>
          <w:sz w:val="24"/>
          <w:szCs w:val="24"/>
          <w:lang w:val="ro-RO"/>
        </w:rPr>
      </w:pPr>
      <w:r w:rsidRPr="006D02E1">
        <w:rPr>
          <w:rFonts w:ascii="Times New Roman" w:hAnsi="Times New Roman" w:cs="Times New Roman"/>
          <w:b/>
          <w:sz w:val="24"/>
          <w:szCs w:val="24"/>
          <w:lang w:val="ro-RO"/>
        </w:rPr>
        <w:t xml:space="preserve">Logica </w:t>
      </w:r>
      <w:r w:rsidR="00FE3822" w:rsidRPr="006D02E1">
        <w:rPr>
          <w:rFonts w:ascii="Times New Roman" w:hAnsi="Times New Roman" w:cs="Times New Roman"/>
          <w:b/>
          <w:sz w:val="24"/>
          <w:szCs w:val="24"/>
          <w:lang w:val="ro-RO"/>
        </w:rPr>
        <w:t xml:space="preserve">avută în vedere de </w:t>
      </w:r>
      <w:r w:rsidRPr="006D02E1">
        <w:rPr>
          <w:rFonts w:ascii="Times New Roman" w:hAnsi="Times New Roman" w:cs="Times New Roman"/>
          <w:b/>
          <w:sz w:val="24"/>
          <w:szCs w:val="24"/>
          <w:lang w:val="ro-RO"/>
        </w:rPr>
        <w:t>legiutori</w:t>
      </w:r>
      <w:r w:rsidR="00962970" w:rsidRPr="006D02E1">
        <w:rPr>
          <w:rFonts w:ascii="Times New Roman" w:hAnsi="Times New Roman" w:cs="Times New Roman"/>
          <w:b/>
          <w:sz w:val="24"/>
          <w:szCs w:val="24"/>
          <w:lang w:val="ro-RO"/>
        </w:rPr>
        <w:t>i</w:t>
      </w:r>
      <w:r w:rsidRPr="006D02E1">
        <w:rPr>
          <w:rFonts w:ascii="Times New Roman" w:hAnsi="Times New Roman" w:cs="Times New Roman"/>
          <w:b/>
          <w:sz w:val="24"/>
          <w:szCs w:val="24"/>
          <w:lang w:val="ro-RO"/>
        </w:rPr>
        <w:t xml:space="preserve"> români în st</w:t>
      </w:r>
      <w:r w:rsidR="00676A65" w:rsidRPr="006D02E1">
        <w:rPr>
          <w:rFonts w:ascii="Times New Roman" w:hAnsi="Times New Roman" w:cs="Times New Roman"/>
          <w:b/>
          <w:sz w:val="24"/>
          <w:szCs w:val="24"/>
          <w:lang w:val="ro-RO"/>
        </w:rPr>
        <w:t>abilirea condițiilor de acces a</w:t>
      </w:r>
      <w:r w:rsidR="003F52FD">
        <w:rPr>
          <w:rFonts w:ascii="Times New Roman" w:hAnsi="Times New Roman" w:cs="Times New Roman"/>
          <w:b/>
          <w:sz w:val="24"/>
          <w:szCs w:val="24"/>
          <w:lang w:val="ro-RO"/>
        </w:rPr>
        <w:t>l</w:t>
      </w:r>
      <w:r w:rsidR="00676A65" w:rsidRPr="006D02E1">
        <w:rPr>
          <w:rFonts w:ascii="Times New Roman" w:hAnsi="Times New Roman" w:cs="Times New Roman"/>
          <w:b/>
          <w:sz w:val="24"/>
          <w:szCs w:val="24"/>
          <w:lang w:val="ro-RO"/>
        </w:rPr>
        <w:t xml:space="preserve"> </w:t>
      </w:r>
      <w:r w:rsidRPr="006D02E1">
        <w:rPr>
          <w:rFonts w:ascii="Times New Roman" w:hAnsi="Times New Roman" w:cs="Times New Roman"/>
          <w:b/>
          <w:sz w:val="24"/>
          <w:szCs w:val="24"/>
          <w:lang w:val="ro-RO"/>
        </w:rPr>
        <w:t>candidaților la buletinul de v</w:t>
      </w:r>
      <w:r w:rsidR="002033D3" w:rsidRPr="006D02E1">
        <w:rPr>
          <w:rFonts w:ascii="Times New Roman" w:hAnsi="Times New Roman" w:cs="Times New Roman"/>
          <w:b/>
          <w:sz w:val="24"/>
          <w:szCs w:val="24"/>
          <w:lang w:val="ro-RO"/>
        </w:rPr>
        <w:t>ot</w:t>
      </w:r>
    </w:p>
    <w:p w:rsidR="003F52FD" w:rsidRPr="006D02E1" w:rsidRDefault="003F52FD" w:rsidP="003F52FD">
      <w:pPr>
        <w:pStyle w:val="ListParagraph"/>
        <w:spacing w:after="0" w:line="240" w:lineRule="auto"/>
        <w:jc w:val="both"/>
        <w:rPr>
          <w:rFonts w:ascii="Times New Roman" w:hAnsi="Times New Roman" w:cs="Times New Roman"/>
          <w:b/>
          <w:sz w:val="24"/>
          <w:szCs w:val="24"/>
          <w:lang w:val="ro-RO"/>
        </w:rPr>
      </w:pPr>
    </w:p>
    <w:p w:rsidR="004826C1" w:rsidRPr="004826C1" w:rsidRDefault="004826C1" w:rsidP="002566BB">
      <w:pPr>
        <w:spacing w:after="0" w:line="240" w:lineRule="auto"/>
        <w:ind w:firstLine="720"/>
        <w:jc w:val="both"/>
        <w:rPr>
          <w:rFonts w:ascii="Times New Roman" w:hAnsi="Times New Roman" w:cs="Times New Roman"/>
          <w:sz w:val="24"/>
          <w:szCs w:val="24"/>
          <w:lang w:val="ro-RO"/>
        </w:rPr>
      </w:pPr>
      <w:r w:rsidRPr="004826C1">
        <w:rPr>
          <w:rFonts w:ascii="Times New Roman" w:hAnsi="Times New Roman" w:cs="Times New Roman"/>
          <w:bCs/>
          <w:i/>
          <w:color w:val="212529"/>
          <w:sz w:val="24"/>
          <w:szCs w:val="24"/>
          <w:lang w:val="ro-RO"/>
        </w:rPr>
        <w:t xml:space="preserve">Propunerea legislativă pentru </w:t>
      </w:r>
      <w:r w:rsidR="00962970">
        <w:rPr>
          <w:rFonts w:ascii="Times New Roman" w:hAnsi="Times New Roman" w:cs="Times New Roman"/>
          <w:bCs/>
          <w:i/>
          <w:color w:val="212529"/>
          <w:sz w:val="24"/>
          <w:szCs w:val="24"/>
          <w:lang w:val="ro-RO"/>
        </w:rPr>
        <w:t>a</w:t>
      </w:r>
      <w:r w:rsidRPr="004826C1">
        <w:rPr>
          <w:rFonts w:ascii="Times New Roman" w:hAnsi="Times New Roman" w:cs="Times New Roman"/>
          <w:bCs/>
          <w:i/>
          <w:color w:val="212529"/>
          <w:sz w:val="24"/>
          <w:szCs w:val="24"/>
          <w:lang w:val="ro-RO"/>
        </w:rPr>
        <w:t>legerea reprezentanţilor României în Parlamentul European</w:t>
      </w:r>
      <w:r w:rsidRPr="004826C1">
        <w:rPr>
          <w:rFonts w:ascii="Times New Roman" w:hAnsi="Times New Roman" w:cs="Times New Roman"/>
          <w:bCs/>
          <w:color w:val="212529"/>
          <w:sz w:val="24"/>
          <w:szCs w:val="24"/>
          <w:lang w:val="ro-RO"/>
        </w:rPr>
        <w:t xml:space="preserve"> cu numărul de înregistrare de la Senat de B605 a aparținut </w:t>
      </w:r>
      <w:r w:rsidRPr="004826C1">
        <w:rPr>
          <w:rFonts w:ascii="Times New Roman" w:hAnsi="Times New Roman" w:cs="Times New Roman"/>
          <w:i/>
          <w:color w:val="333333"/>
          <w:sz w:val="24"/>
          <w:szCs w:val="24"/>
          <w:shd w:val="clear" w:color="auto" w:fill="FFFFFF"/>
          <w:lang w:val="ro-RO"/>
        </w:rPr>
        <w:t xml:space="preserve">Comisiei comune a Camerei Deputaţilor şi Senatului pentru elaborarea propunerii legislative privind alegerea Camerei Deputaţilor şi a Senatului, a Preşedintelui României, alegerile autorităţilor administraţiei publice locale, finanţarea campaniilor electorale şi alegerea europarlamentarilor </w:t>
      </w:r>
      <w:r w:rsidRPr="004826C1">
        <w:rPr>
          <w:rFonts w:ascii="Times New Roman" w:hAnsi="Times New Roman" w:cs="Times New Roman"/>
          <w:color w:val="333333"/>
          <w:sz w:val="24"/>
          <w:szCs w:val="24"/>
          <w:shd w:val="clear" w:color="auto" w:fill="FFFFFF"/>
          <w:lang w:val="ro-RO"/>
        </w:rPr>
        <w:t>și a avut ca intenție</w:t>
      </w:r>
      <w:r w:rsidR="00C074EA">
        <w:rPr>
          <w:rFonts w:ascii="Times New Roman" w:hAnsi="Times New Roman" w:cs="Times New Roman"/>
          <w:color w:val="333333"/>
          <w:sz w:val="24"/>
          <w:szCs w:val="24"/>
          <w:shd w:val="clear" w:color="auto" w:fill="FFFFFF"/>
          <w:lang w:val="ro-RO"/>
        </w:rPr>
        <w:t>,</w:t>
      </w:r>
      <w:r w:rsidRPr="004826C1">
        <w:rPr>
          <w:rFonts w:ascii="Times New Roman" w:hAnsi="Times New Roman" w:cs="Times New Roman"/>
          <w:color w:val="333333"/>
          <w:sz w:val="24"/>
          <w:szCs w:val="24"/>
          <w:shd w:val="clear" w:color="auto" w:fill="FFFFFF"/>
          <w:lang w:val="ro-RO"/>
        </w:rPr>
        <w:t xml:space="preserve"> încă din forma inițială depusă</w:t>
      </w:r>
      <w:r w:rsidR="00C074EA">
        <w:rPr>
          <w:rFonts w:ascii="Times New Roman" w:hAnsi="Times New Roman" w:cs="Times New Roman"/>
          <w:color w:val="333333"/>
          <w:sz w:val="24"/>
          <w:szCs w:val="24"/>
          <w:shd w:val="clear" w:color="auto" w:fill="FFFFFF"/>
          <w:lang w:val="ro-RO"/>
        </w:rPr>
        <w:t>,</w:t>
      </w:r>
      <w:r w:rsidRPr="004826C1">
        <w:rPr>
          <w:rFonts w:ascii="Times New Roman" w:hAnsi="Times New Roman" w:cs="Times New Roman"/>
          <w:color w:val="333333"/>
          <w:sz w:val="24"/>
          <w:szCs w:val="24"/>
          <w:shd w:val="clear" w:color="auto" w:fill="FFFFFF"/>
          <w:lang w:val="ro-RO"/>
        </w:rPr>
        <w:t xml:space="preserve"> de a solicita un număr</w:t>
      </w:r>
      <w:r w:rsidR="00C074EA">
        <w:rPr>
          <w:rFonts w:ascii="Times New Roman" w:hAnsi="Times New Roman" w:cs="Times New Roman"/>
          <w:color w:val="333333"/>
          <w:sz w:val="24"/>
          <w:szCs w:val="24"/>
          <w:shd w:val="clear" w:color="auto" w:fill="FFFFFF"/>
          <w:lang w:val="ro-RO"/>
        </w:rPr>
        <w:t xml:space="preserve"> mare de semnături de susținere</w:t>
      </w:r>
      <w:r w:rsidRPr="004826C1">
        <w:rPr>
          <w:rFonts w:ascii="Times New Roman" w:hAnsi="Times New Roman" w:cs="Times New Roman"/>
          <w:color w:val="333333"/>
          <w:sz w:val="24"/>
          <w:szCs w:val="24"/>
          <w:shd w:val="clear" w:color="auto" w:fill="FFFFFF"/>
          <w:lang w:val="ro-RO"/>
        </w:rPr>
        <w:t>.</w:t>
      </w:r>
      <w:r>
        <w:rPr>
          <w:rStyle w:val="FootnoteReference"/>
          <w:rFonts w:ascii="Times New Roman" w:hAnsi="Times New Roman" w:cs="Times New Roman"/>
          <w:color w:val="333333"/>
          <w:sz w:val="24"/>
          <w:szCs w:val="24"/>
          <w:shd w:val="clear" w:color="auto" w:fill="FFFFFF"/>
          <w:lang w:val="ro-RO"/>
        </w:rPr>
        <w:footnoteReference w:id="38"/>
      </w:r>
      <w:r w:rsidRPr="004826C1">
        <w:rPr>
          <w:rFonts w:ascii="Times New Roman" w:hAnsi="Times New Roman" w:cs="Times New Roman"/>
          <w:color w:val="333333"/>
          <w:sz w:val="24"/>
          <w:szCs w:val="24"/>
          <w:shd w:val="clear" w:color="auto" w:fill="FFFFFF"/>
          <w:lang w:val="ro-RO"/>
        </w:rPr>
        <w:t xml:space="preserve"> </w:t>
      </w:r>
    </w:p>
    <w:p w:rsidR="00A951DF" w:rsidRDefault="004826C1" w:rsidP="002566BB">
      <w:pPr>
        <w:spacing w:after="0" w:line="240" w:lineRule="auto"/>
        <w:ind w:firstLine="720"/>
        <w:jc w:val="both"/>
        <w:rPr>
          <w:rFonts w:ascii="Times New Roman" w:hAnsi="Times New Roman" w:cs="Times New Roman"/>
          <w:sz w:val="24"/>
          <w:szCs w:val="24"/>
          <w:lang w:val="ro-RO"/>
        </w:rPr>
      </w:pPr>
      <w:r w:rsidRPr="004826C1">
        <w:rPr>
          <w:rFonts w:ascii="Times New Roman" w:hAnsi="Times New Roman" w:cs="Times New Roman"/>
          <w:sz w:val="24"/>
          <w:szCs w:val="24"/>
          <w:lang w:val="ro-RO"/>
        </w:rPr>
        <w:t>Cele 200,000 de semnături pentru partidele politice și</w:t>
      </w:r>
      <w:r w:rsidR="00B943BB">
        <w:rPr>
          <w:rFonts w:ascii="Times New Roman" w:hAnsi="Times New Roman" w:cs="Times New Roman"/>
          <w:sz w:val="24"/>
          <w:szCs w:val="24"/>
          <w:lang w:val="ro-RO"/>
        </w:rPr>
        <w:t xml:space="preserve"> </w:t>
      </w:r>
      <w:r w:rsidRPr="004826C1">
        <w:rPr>
          <w:rFonts w:ascii="Times New Roman" w:hAnsi="Times New Roman" w:cs="Times New Roman"/>
          <w:sz w:val="24"/>
          <w:szCs w:val="24"/>
          <w:lang w:val="ro-RO"/>
        </w:rPr>
        <w:t xml:space="preserve">100,000 pentru candidații independenți au fost concepute special pentru alegerile europarlamentare, inspirându-se, într-o oarecare măsură, din prevederile legale privitoare la alegerile </w:t>
      </w:r>
      <w:r>
        <w:rPr>
          <w:rFonts w:ascii="Times New Roman" w:hAnsi="Times New Roman" w:cs="Times New Roman"/>
          <w:sz w:val="24"/>
          <w:szCs w:val="24"/>
          <w:lang w:val="ro-RO"/>
        </w:rPr>
        <w:t>locale</w:t>
      </w:r>
      <w:r w:rsidR="009C1E85">
        <w:rPr>
          <w:rFonts w:ascii="Times New Roman" w:hAnsi="Times New Roman" w:cs="Times New Roman"/>
          <w:sz w:val="24"/>
          <w:szCs w:val="24"/>
          <w:lang w:val="ro-RO"/>
        </w:rPr>
        <w:t xml:space="preserve"> sau cel puțin așa pare să indice stenogramele dezbaterilor paralementare privitoare la această lege</w:t>
      </w:r>
      <w:r>
        <w:rPr>
          <w:rFonts w:ascii="Times New Roman" w:hAnsi="Times New Roman" w:cs="Times New Roman"/>
          <w:sz w:val="24"/>
          <w:szCs w:val="24"/>
          <w:lang w:val="ro-RO"/>
        </w:rPr>
        <w:t xml:space="preserve">. </w:t>
      </w:r>
      <w:r w:rsidR="00A951DF" w:rsidRPr="004826C1">
        <w:rPr>
          <w:rFonts w:ascii="Times New Roman" w:hAnsi="Times New Roman" w:cs="Times New Roman"/>
          <w:sz w:val="24"/>
          <w:szCs w:val="24"/>
          <w:lang w:val="ro-RO"/>
        </w:rPr>
        <w:t>Logica avută în vederea pentru stabilirea cerinţei de a depune 200.000 de semnături pentru partidele politice şi 100.000 este cea descrisă de</w:t>
      </w:r>
      <w:r w:rsidR="004E2932">
        <w:rPr>
          <w:rFonts w:ascii="Times New Roman" w:hAnsi="Times New Roman" w:cs="Times New Roman"/>
          <w:sz w:val="24"/>
          <w:szCs w:val="24"/>
          <w:lang w:val="ro-RO"/>
        </w:rPr>
        <w:t xml:space="preserve"> parlamentarul</w:t>
      </w:r>
      <w:r w:rsidR="00A951DF" w:rsidRPr="004826C1">
        <w:rPr>
          <w:rFonts w:ascii="Times New Roman" w:hAnsi="Times New Roman" w:cs="Times New Roman"/>
          <w:sz w:val="24"/>
          <w:szCs w:val="24"/>
          <w:lang w:val="ro-RO"/>
        </w:rPr>
        <w:t xml:space="preserve"> Arpad Marton Francisc</w:t>
      </w:r>
      <w:r w:rsidR="004E2932">
        <w:rPr>
          <w:rFonts w:ascii="Times New Roman" w:hAnsi="Times New Roman" w:cs="Times New Roman"/>
          <w:sz w:val="24"/>
          <w:szCs w:val="24"/>
          <w:lang w:val="ro-RO"/>
        </w:rPr>
        <w:t xml:space="preserve"> astfel:</w:t>
      </w:r>
      <w:r w:rsidR="00A951DF" w:rsidRPr="004826C1">
        <w:rPr>
          <w:rFonts w:ascii="Times New Roman" w:hAnsi="Times New Roman" w:cs="Times New Roman"/>
          <w:sz w:val="24"/>
          <w:szCs w:val="24"/>
          <w:lang w:val="ro-RO"/>
        </w:rPr>
        <w:t xml:space="preserve"> ”Comisia (e.g. </w:t>
      </w:r>
      <w:r w:rsidR="00A951DF" w:rsidRPr="009651E0">
        <w:rPr>
          <w:rFonts w:ascii="Times New Roman" w:hAnsi="Times New Roman" w:cs="Times New Roman"/>
          <w:i/>
          <w:iCs/>
          <w:sz w:val="24"/>
          <w:szCs w:val="24"/>
          <w:lang w:val="ro-RO"/>
        </w:rPr>
        <w:t>Comisia juridică, de numiri, disciplină şi imunităţi</w:t>
      </w:r>
      <w:r w:rsidR="00A951DF" w:rsidRPr="004826C1">
        <w:rPr>
          <w:rFonts w:ascii="Times New Roman" w:hAnsi="Times New Roman" w:cs="Times New Roman"/>
          <w:sz w:val="24"/>
          <w:szCs w:val="24"/>
          <w:lang w:val="ro-RO"/>
        </w:rPr>
        <w:t xml:space="preserve">) a avut în vedere următoarea situaţie. Chiar şi la alegerile locale, 0,5% sunt acele procente care trebuie adunate, având peste 18 milioane trei sute şi ceva de alegători pe listele de alegători, 0,5% sunt în jur de 90 de mii de semnături, deci, am scris 100 de mii, iar pentru partide, aşa cum aţi propus şi </w:t>
      </w:r>
      <w:r w:rsidR="00A951DF" w:rsidRPr="0009531F">
        <w:rPr>
          <w:rFonts w:asciiTheme="majorBidi" w:hAnsiTheme="majorBidi" w:cstheme="majorBidi"/>
          <w:sz w:val="24"/>
          <w:szCs w:val="24"/>
          <w:lang w:val="ro-RO"/>
        </w:rPr>
        <w:t xml:space="preserve">dumneavoastră, să fie un prag mai greu de trecut, dublul acestui procent de 0,5, adică 1% din peste 18 milioane, ar </w:t>
      </w:r>
      <w:r w:rsidR="00A951DF" w:rsidRPr="0009531F">
        <w:rPr>
          <w:rFonts w:asciiTheme="majorBidi" w:hAnsiTheme="majorBidi" w:cstheme="majorBidi"/>
          <w:sz w:val="24"/>
          <w:szCs w:val="24"/>
          <w:lang w:val="ro-RO"/>
        </w:rPr>
        <w:lastRenderedPageBreak/>
        <w:t>fi 185 de mii şi am trecut 200 de mii.”</w:t>
      </w:r>
      <w:r w:rsidR="00A951DF" w:rsidRPr="0009531F">
        <w:rPr>
          <w:rStyle w:val="FootnoteReference"/>
          <w:rFonts w:asciiTheme="majorBidi" w:hAnsiTheme="majorBidi" w:cstheme="majorBidi"/>
          <w:sz w:val="24"/>
          <w:szCs w:val="24"/>
          <w:lang w:val="ro-RO"/>
        </w:rPr>
        <w:footnoteReference w:id="39"/>
      </w:r>
      <w:r w:rsidR="00A951DF" w:rsidRPr="0009531F">
        <w:rPr>
          <w:rFonts w:asciiTheme="majorBidi" w:hAnsiTheme="majorBidi" w:cstheme="majorBidi"/>
          <w:sz w:val="24"/>
          <w:szCs w:val="24"/>
          <w:lang w:val="ro-RO"/>
        </w:rPr>
        <w:t xml:space="preserve"> Argumentul prezentat suferă de o gravă eroare, acela că </w:t>
      </w:r>
      <w:r w:rsidR="0009531F" w:rsidRPr="0009531F">
        <w:rPr>
          <w:rFonts w:asciiTheme="majorBidi" w:hAnsiTheme="majorBidi" w:cstheme="majorBidi"/>
          <w:i/>
          <w:iCs/>
          <w:sz w:val="24"/>
          <w:szCs w:val="24"/>
        </w:rPr>
        <w:t>Legea nr. 67 din 25 martie 2004 pentru alegerea autorităţilor administraţiei publice locale</w:t>
      </w:r>
      <w:r w:rsidR="00A951DF" w:rsidRPr="0009531F">
        <w:rPr>
          <w:rFonts w:asciiTheme="majorBidi" w:hAnsiTheme="majorBidi" w:cstheme="majorBidi"/>
          <w:sz w:val="24"/>
          <w:szCs w:val="24"/>
          <w:lang w:val="ro-RO"/>
        </w:rPr>
        <w:t xml:space="preserve"> </w:t>
      </w:r>
      <w:r w:rsidR="00F95348" w:rsidRPr="0009531F">
        <w:rPr>
          <w:rFonts w:asciiTheme="majorBidi" w:hAnsiTheme="majorBidi" w:cstheme="majorBidi"/>
          <w:sz w:val="24"/>
          <w:szCs w:val="24"/>
          <w:lang w:val="ro-RO"/>
        </w:rPr>
        <w:t xml:space="preserve">la care face referire parlamentarul </w:t>
      </w:r>
      <w:r w:rsidR="00A951DF" w:rsidRPr="0009531F">
        <w:rPr>
          <w:rFonts w:asciiTheme="majorBidi" w:hAnsiTheme="majorBidi" w:cstheme="majorBidi"/>
          <w:sz w:val="24"/>
          <w:szCs w:val="24"/>
          <w:lang w:val="ro-RO"/>
        </w:rPr>
        <w:t>prevedea doar 2% semnături pentru primari și 1% semnături pentru președinții de consilii județene din fiecare circumscripței în parte cu minime stabilite</w:t>
      </w:r>
      <w:r w:rsidR="00A951DF" w:rsidRPr="004826C1">
        <w:rPr>
          <w:rFonts w:ascii="Times New Roman" w:hAnsi="Times New Roman" w:cs="Times New Roman"/>
          <w:sz w:val="24"/>
          <w:szCs w:val="24"/>
          <w:lang w:val="ro-RO"/>
        </w:rPr>
        <w:t xml:space="preserve"> la articolul 48 al legii și nu de 0,5% cum argumentează senatorul Arpad Marton Francisc.</w:t>
      </w:r>
      <w:r w:rsidR="00A951DF">
        <w:rPr>
          <w:rStyle w:val="FootnoteReference"/>
          <w:rFonts w:ascii="Times New Roman" w:hAnsi="Times New Roman" w:cs="Times New Roman"/>
          <w:sz w:val="24"/>
          <w:szCs w:val="24"/>
          <w:lang w:val="ro-RO"/>
        </w:rPr>
        <w:footnoteReference w:id="40"/>
      </w:r>
      <w:r w:rsidR="00A951DF" w:rsidRPr="004826C1">
        <w:rPr>
          <w:rFonts w:ascii="Times New Roman" w:hAnsi="Times New Roman" w:cs="Times New Roman"/>
          <w:sz w:val="24"/>
          <w:szCs w:val="24"/>
          <w:lang w:val="ro-RO"/>
        </w:rPr>
        <w:t xml:space="preserve"> În acest caz, logica avută în vedere pentru stabilirea condițiilor de înregistrare a candidaților la alegerile europarlamentare a fost una greșită de la bun început, bazându-se pe o eroare de informare. Chiar și în acest condiții, criteriul </w:t>
      </w:r>
      <w:r w:rsidR="0009531F">
        <w:rPr>
          <w:rFonts w:ascii="Times New Roman" w:hAnsi="Times New Roman" w:cs="Times New Roman"/>
          <w:sz w:val="24"/>
          <w:szCs w:val="24"/>
          <w:lang w:val="ro-RO"/>
        </w:rPr>
        <w:t xml:space="preserve">utilizat care reise din stenograme </w:t>
      </w:r>
      <w:r w:rsidR="00A951DF" w:rsidRPr="004826C1">
        <w:rPr>
          <w:rFonts w:ascii="Times New Roman" w:hAnsi="Times New Roman" w:cs="Times New Roman"/>
          <w:sz w:val="24"/>
          <w:szCs w:val="24"/>
          <w:lang w:val="ro-RO"/>
        </w:rPr>
        <w:t xml:space="preserve">a fost de a stabili un număr reprezentat de 0,5% de semnături din totalul alegătorilor pentru independenți și 1% din totalul alegătorilor pentru partidele politice și coaliții de partide. </w:t>
      </w:r>
    </w:p>
    <w:p w:rsidR="004826C1" w:rsidRPr="00DB6CFA" w:rsidRDefault="004826C1" w:rsidP="002566BB">
      <w:pPr>
        <w:spacing w:after="0" w:line="240" w:lineRule="auto"/>
        <w:ind w:firstLine="720"/>
        <w:jc w:val="both"/>
        <w:rPr>
          <w:rFonts w:ascii="Times New Roman" w:hAnsi="Times New Roman" w:cs="Times New Roman"/>
          <w:sz w:val="24"/>
          <w:szCs w:val="24"/>
          <w:lang w:val="ro-RO"/>
        </w:rPr>
      </w:pPr>
      <w:r w:rsidRPr="004826C1">
        <w:rPr>
          <w:rFonts w:ascii="Times New Roman" w:hAnsi="Times New Roman" w:cs="Times New Roman"/>
          <w:sz w:val="24"/>
          <w:szCs w:val="24"/>
          <w:lang w:val="ro-RO"/>
        </w:rPr>
        <w:t>În cadrul dezbaterii de la Senat, parlamentarul Gherghe Funar a susţinut următorul amendament privind numărul foarte mare de semnături necesare pentru înscrierea în cursa electorală a candidaţilor independenţi: „În ipoteza în care s-ar merge pe cifra de 200 de mii de susţinători, practic, domnule preşedinte, doamnelor şi domnilor senatori, nu am avea candidaţi independenţi în România. Este imposibil oricărui român să strângă 200 de mii de semnături, ca să candideze.</w:t>
      </w:r>
      <w:r w:rsidRPr="00204C64">
        <w:rPr>
          <w:rStyle w:val="FootnoteReference"/>
          <w:rFonts w:ascii="Times New Roman" w:hAnsi="Times New Roman" w:cs="Times New Roman"/>
          <w:sz w:val="24"/>
          <w:szCs w:val="24"/>
          <w:lang w:val="ro-RO"/>
        </w:rPr>
        <w:footnoteReference w:id="41"/>
      </w:r>
      <w:r w:rsidRPr="004826C1">
        <w:rPr>
          <w:rFonts w:ascii="Times New Roman" w:hAnsi="Times New Roman" w:cs="Times New Roman"/>
          <w:sz w:val="24"/>
          <w:szCs w:val="24"/>
          <w:lang w:val="ro-RO"/>
        </w:rPr>
        <w:t xml:space="preserve"> </w:t>
      </w:r>
      <w:r w:rsidR="00241312">
        <w:rPr>
          <w:rFonts w:ascii="Times New Roman" w:hAnsi="Times New Roman" w:cs="Times New Roman"/>
          <w:sz w:val="24"/>
          <w:szCs w:val="24"/>
          <w:lang w:val="ro-RO"/>
        </w:rPr>
        <w:t>Amendamentul depus nu a primit susținere din partea parlamentarilor.</w:t>
      </w:r>
      <w:r w:rsidR="0088015A">
        <w:rPr>
          <w:rFonts w:ascii="Times New Roman" w:hAnsi="Times New Roman" w:cs="Times New Roman"/>
          <w:sz w:val="24"/>
          <w:szCs w:val="24"/>
          <w:lang w:val="ro-RO"/>
        </w:rPr>
        <w:t xml:space="preserve"> </w:t>
      </w:r>
      <w:r w:rsidRPr="004826C1">
        <w:rPr>
          <w:rFonts w:ascii="Times New Roman" w:hAnsi="Times New Roman" w:cs="Times New Roman"/>
          <w:sz w:val="24"/>
          <w:szCs w:val="24"/>
          <w:lang w:val="ro-RO"/>
        </w:rPr>
        <w:t>S-a mai depus un amend</w:t>
      </w:r>
      <w:r w:rsidR="00C16C26">
        <w:rPr>
          <w:rFonts w:ascii="Times New Roman" w:hAnsi="Times New Roman" w:cs="Times New Roman"/>
          <w:sz w:val="24"/>
          <w:szCs w:val="24"/>
          <w:lang w:val="ro-RO"/>
        </w:rPr>
        <w:t>ament care prevedea ca partidel</w:t>
      </w:r>
      <w:r w:rsidRPr="004826C1">
        <w:rPr>
          <w:rFonts w:ascii="Times New Roman" w:hAnsi="Times New Roman" w:cs="Times New Roman"/>
          <w:sz w:val="24"/>
          <w:szCs w:val="24"/>
          <w:lang w:val="ro-RO"/>
        </w:rPr>
        <w:t>or politice să li se solicite 120.000 de semnături şi candidaţilor independenţi 80.000</w:t>
      </w:r>
      <w:r w:rsidRPr="005B0FD8">
        <w:rPr>
          <w:rStyle w:val="FootnoteReference"/>
          <w:rFonts w:ascii="Times New Roman" w:hAnsi="Times New Roman" w:cs="Times New Roman"/>
          <w:sz w:val="24"/>
          <w:szCs w:val="24"/>
          <w:lang w:val="ro-RO"/>
        </w:rPr>
        <w:footnoteReference w:id="42"/>
      </w:r>
      <w:r w:rsidRPr="004826C1">
        <w:rPr>
          <w:rFonts w:ascii="Times New Roman" w:hAnsi="Times New Roman" w:cs="Times New Roman"/>
          <w:sz w:val="24"/>
          <w:szCs w:val="24"/>
          <w:lang w:val="ro-RO"/>
        </w:rPr>
        <w:t xml:space="preserve"> și unul doar 100,000</w:t>
      </w:r>
      <w:r w:rsidR="00A64B77">
        <w:rPr>
          <w:rFonts w:ascii="Times New Roman" w:hAnsi="Times New Roman" w:cs="Times New Roman"/>
          <w:sz w:val="24"/>
          <w:szCs w:val="24"/>
          <w:lang w:val="ro-RO"/>
        </w:rPr>
        <w:t xml:space="preserve"> de semnături</w:t>
      </w:r>
      <w:r w:rsidRPr="004826C1">
        <w:rPr>
          <w:rFonts w:ascii="Times New Roman" w:hAnsi="Times New Roman" w:cs="Times New Roman"/>
          <w:sz w:val="24"/>
          <w:szCs w:val="24"/>
          <w:lang w:val="ro-RO"/>
        </w:rPr>
        <w:t xml:space="preserve"> partidelor politice, fiindu-le mai ușor partidelor să strân</w:t>
      </w:r>
      <w:r w:rsidR="00122347">
        <w:rPr>
          <w:rFonts w:ascii="Times New Roman" w:hAnsi="Times New Roman" w:cs="Times New Roman"/>
          <w:sz w:val="24"/>
          <w:szCs w:val="24"/>
          <w:lang w:val="ro-RO"/>
        </w:rPr>
        <w:t>g</w:t>
      </w:r>
      <w:r w:rsidRPr="004826C1">
        <w:rPr>
          <w:rFonts w:ascii="Times New Roman" w:hAnsi="Times New Roman" w:cs="Times New Roman"/>
          <w:sz w:val="24"/>
          <w:szCs w:val="24"/>
          <w:lang w:val="ro-RO"/>
        </w:rPr>
        <w:t>ă semnături decât independenților, însă niciunul nu a primit susţinere.</w:t>
      </w:r>
      <w:r>
        <w:rPr>
          <w:rStyle w:val="FootnoteReference"/>
          <w:rFonts w:ascii="Times New Roman" w:hAnsi="Times New Roman" w:cs="Times New Roman"/>
          <w:sz w:val="24"/>
          <w:szCs w:val="24"/>
          <w:lang w:val="ro-RO"/>
        </w:rPr>
        <w:footnoteReference w:id="43"/>
      </w:r>
      <w:r w:rsidRPr="004826C1">
        <w:rPr>
          <w:rFonts w:ascii="Times New Roman" w:hAnsi="Times New Roman" w:cs="Times New Roman"/>
          <w:sz w:val="24"/>
          <w:szCs w:val="24"/>
          <w:lang w:val="ro-RO"/>
        </w:rPr>
        <w:t xml:space="preserve"> </w:t>
      </w:r>
      <w:r w:rsidR="00294D5A">
        <w:rPr>
          <w:rFonts w:ascii="Times New Roman" w:hAnsi="Times New Roman" w:cs="Times New Roman"/>
          <w:sz w:val="24"/>
          <w:szCs w:val="24"/>
          <w:lang w:val="ro-RO"/>
        </w:rPr>
        <w:t xml:space="preserve">Tot în cadrul dezbaterilor parlamentare, s-a vorbit despre </w:t>
      </w:r>
      <w:r w:rsidRPr="004826C1">
        <w:rPr>
          <w:rFonts w:ascii="Times New Roman" w:hAnsi="Times New Roman" w:cs="Times New Roman"/>
          <w:sz w:val="24"/>
          <w:szCs w:val="24"/>
          <w:lang w:val="ro-RO"/>
        </w:rPr>
        <w:t>ren</w:t>
      </w:r>
      <w:r w:rsidR="00294D5A">
        <w:rPr>
          <w:rFonts w:ascii="Times New Roman" w:hAnsi="Times New Roman" w:cs="Times New Roman"/>
          <w:sz w:val="24"/>
          <w:szCs w:val="24"/>
          <w:lang w:val="ro-RO"/>
        </w:rPr>
        <w:t xml:space="preserve">unţarea definitivă la semnături, iar argumentul </w:t>
      </w:r>
      <w:r w:rsidRPr="004826C1">
        <w:rPr>
          <w:rFonts w:ascii="Times New Roman" w:hAnsi="Times New Roman" w:cs="Times New Roman"/>
          <w:sz w:val="24"/>
          <w:szCs w:val="24"/>
          <w:lang w:val="ro-RO"/>
        </w:rPr>
        <w:t>s-a bazat pe necesitatea de a depune semnături pentru înfiinţarea unui partid politic, vorbindu-se despre ”aberația” strângerii a 200,000 de semnături pentru partidele politice, în condițiile în care partidele au deja personalitate juridică dobândită ca urmare a strângerii a 25,000 de semnături pentru înființare.</w:t>
      </w:r>
      <w:r>
        <w:rPr>
          <w:rStyle w:val="FootnoteReference"/>
          <w:rFonts w:ascii="Times New Roman" w:hAnsi="Times New Roman" w:cs="Times New Roman"/>
          <w:sz w:val="24"/>
          <w:szCs w:val="24"/>
          <w:lang w:val="ro-RO"/>
        </w:rPr>
        <w:footnoteReference w:id="44"/>
      </w:r>
      <w:r w:rsidRPr="004826C1">
        <w:rPr>
          <w:rFonts w:ascii="Times New Roman" w:hAnsi="Times New Roman" w:cs="Times New Roman"/>
          <w:sz w:val="24"/>
          <w:szCs w:val="24"/>
          <w:lang w:val="ro-RO"/>
        </w:rPr>
        <w:t xml:space="preserve"> </w:t>
      </w:r>
    </w:p>
    <w:p w:rsidR="004A1FAC" w:rsidRPr="00973027" w:rsidRDefault="0011034C" w:rsidP="002566BB">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bCs/>
          <w:sz w:val="24"/>
          <w:szCs w:val="24"/>
          <w:shd w:val="clear" w:color="auto" w:fill="FFFFFF"/>
          <w:lang w:val="ro-RO"/>
        </w:rPr>
        <w:t xml:space="preserve">Propunerea </w:t>
      </w:r>
      <w:r w:rsidR="00E97E4D">
        <w:rPr>
          <w:rFonts w:ascii="Times New Roman" w:hAnsi="Times New Roman" w:cs="Times New Roman"/>
          <w:bCs/>
          <w:sz w:val="24"/>
          <w:szCs w:val="24"/>
          <w:shd w:val="clear" w:color="auto" w:fill="FFFFFF"/>
          <w:lang w:val="ro-RO"/>
        </w:rPr>
        <w:t>privind necesitatea de a colecta un număr de semn</w:t>
      </w:r>
      <w:r w:rsidR="004E2351">
        <w:rPr>
          <w:rFonts w:ascii="Times New Roman" w:hAnsi="Times New Roman" w:cs="Times New Roman"/>
          <w:bCs/>
          <w:sz w:val="24"/>
          <w:szCs w:val="24"/>
          <w:shd w:val="clear" w:color="auto" w:fill="FFFFFF"/>
          <w:lang w:val="ro-RO"/>
        </w:rPr>
        <w:t>ă</w:t>
      </w:r>
      <w:r w:rsidR="00E97E4D">
        <w:rPr>
          <w:rFonts w:ascii="Times New Roman" w:hAnsi="Times New Roman" w:cs="Times New Roman"/>
          <w:bCs/>
          <w:sz w:val="24"/>
          <w:szCs w:val="24"/>
          <w:shd w:val="clear" w:color="auto" w:fill="FFFFFF"/>
          <w:lang w:val="ro-RO"/>
        </w:rPr>
        <w:t xml:space="preserve">turi </w:t>
      </w:r>
      <w:r>
        <w:rPr>
          <w:rFonts w:ascii="Times New Roman" w:hAnsi="Times New Roman" w:cs="Times New Roman"/>
          <w:bCs/>
          <w:sz w:val="24"/>
          <w:szCs w:val="24"/>
          <w:shd w:val="clear" w:color="auto" w:fill="FFFFFF"/>
          <w:lang w:val="ro-RO"/>
        </w:rPr>
        <w:t>seamănă, într</w:t>
      </w:r>
      <w:r w:rsidR="00E97E4D">
        <w:rPr>
          <w:rFonts w:ascii="Times New Roman" w:hAnsi="Times New Roman" w:cs="Times New Roman"/>
          <w:bCs/>
          <w:sz w:val="24"/>
          <w:szCs w:val="24"/>
          <w:shd w:val="clear" w:color="auto" w:fill="FFFFFF"/>
          <w:lang w:val="ro-RO"/>
        </w:rPr>
        <w:t>-</w:t>
      </w:r>
      <w:r>
        <w:rPr>
          <w:rFonts w:ascii="Times New Roman" w:hAnsi="Times New Roman" w:cs="Times New Roman"/>
          <w:bCs/>
          <w:sz w:val="24"/>
          <w:szCs w:val="24"/>
          <w:shd w:val="clear" w:color="auto" w:fill="FFFFFF"/>
          <w:lang w:val="ro-RO"/>
        </w:rPr>
        <w:t>o oarecare măsură</w:t>
      </w:r>
      <w:r w:rsidR="00E97E4D">
        <w:rPr>
          <w:rFonts w:ascii="Times New Roman" w:hAnsi="Times New Roman" w:cs="Times New Roman"/>
          <w:bCs/>
          <w:sz w:val="24"/>
          <w:szCs w:val="24"/>
          <w:shd w:val="clear" w:color="auto" w:fill="FFFFFF"/>
          <w:lang w:val="ro-RO"/>
        </w:rPr>
        <w:t>,</w:t>
      </w:r>
      <w:r>
        <w:rPr>
          <w:rFonts w:ascii="Times New Roman" w:hAnsi="Times New Roman" w:cs="Times New Roman"/>
          <w:bCs/>
          <w:sz w:val="24"/>
          <w:szCs w:val="24"/>
          <w:shd w:val="clear" w:color="auto" w:fill="FFFFFF"/>
          <w:lang w:val="ro-RO"/>
        </w:rPr>
        <w:t xml:space="preserve"> </w:t>
      </w:r>
      <w:r w:rsidR="00874991">
        <w:rPr>
          <w:rFonts w:ascii="Times New Roman" w:hAnsi="Times New Roman" w:cs="Times New Roman"/>
          <w:bCs/>
          <w:sz w:val="24"/>
          <w:szCs w:val="24"/>
          <w:shd w:val="clear" w:color="auto" w:fill="FFFFFF"/>
          <w:lang w:val="ro-RO"/>
        </w:rPr>
        <w:t xml:space="preserve">și </w:t>
      </w:r>
      <w:r>
        <w:rPr>
          <w:rFonts w:ascii="Times New Roman" w:hAnsi="Times New Roman" w:cs="Times New Roman"/>
          <w:bCs/>
          <w:sz w:val="24"/>
          <w:szCs w:val="24"/>
          <w:shd w:val="clear" w:color="auto" w:fill="FFFFFF"/>
          <w:lang w:val="ro-RO"/>
        </w:rPr>
        <w:t xml:space="preserve">cu </w:t>
      </w:r>
      <w:r w:rsidR="009B416A" w:rsidRPr="00973027">
        <w:rPr>
          <w:rFonts w:ascii="Times New Roman" w:hAnsi="Times New Roman" w:cs="Times New Roman"/>
          <w:bCs/>
          <w:i/>
          <w:sz w:val="24"/>
          <w:szCs w:val="24"/>
          <w:shd w:val="clear" w:color="auto" w:fill="FFFFFF"/>
          <w:lang w:val="ro-RO"/>
        </w:rPr>
        <w:t>Legea nr.373 din 24 septembrie 2004</w:t>
      </w:r>
      <w:r w:rsidR="009B416A" w:rsidRPr="00973027">
        <w:rPr>
          <w:rFonts w:ascii="Times New Roman" w:hAnsi="Times New Roman" w:cs="Times New Roman"/>
          <w:bCs/>
          <w:i/>
          <w:sz w:val="24"/>
          <w:szCs w:val="24"/>
          <w:lang w:val="ro-RO"/>
        </w:rPr>
        <w:br/>
      </w:r>
      <w:r w:rsidR="009B416A" w:rsidRPr="00973027">
        <w:rPr>
          <w:rFonts w:ascii="Times New Roman" w:hAnsi="Times New Roman" w:cs="Times New Roman"/>
          <w:bCs/>
          <w:i/>
          <w:sz w:val="24"/>
          <w:szCs w:val="24"/>
          <w:shd w:val="clear" w:color="auto" w:fill="FFFFFF"/>
          <w:lang w:val="ro-RO"/>
        </w:rPr>
        <w:t>pentru alegerea Camerei Deputaţilor şi a Senatului</w:t>
      </w:r>
      <w:r w:rsidR="009B416A" w:rsidRPr="00973027">
        <w:rPr>
          <w:rFonts w:ascii="Times New Roman" w:hAnsi="Times New Roman" w:cs="Times New Roman"/>
          <w:bCs/>
          <w:sz w:val="24"/>
          <w:szCs w:val="24"/>
          <w:shd w:val="clear" w:color="auto" w:fill="FFFFFF"/>
          <w:lang w:val="ro-RO"/>
        </w:rPr>
        <w:t xml:space="preserve"> </w:t>
      </w:r>
      <w:r w:rsidR="00810621">
        <w:rPr>
          <w:rFonts w:ascii="Times New Roman" w:hAnsi="Times New Roman" w:cs="Times New Roman"/>
          <w:bCs/>
          <w:sz w:val="24"/>
          <w:szCs w:val="24"/>
          <w:shd w:val="clear" w:color="auto" w:fill="FFFFFF"/>
          <w:lang w:val="ro-RO"/>
        </w:rPr>
        <w:t xml:space="preserve">care </w:t>
      </w:r>
      <w:r w:rsidR="002A0EC7" w:rsidRPr="00973027">
        <w:rPr>
          <w:rFonts w:ascii="Times New Roman" w:hAnsi="Times New Roman" w:cs="Times New Roman"/>
          <w:sz w:val="24"/>
          <w:szCs w:val="24"/>
          <w:lang w:val="ro-RO"/>
        </w:rPr>
        <w:t>prevede</w:t>
      </w:r>
      <w:r w:rsidR="009B416A" w:rsidRPr="00973027">
        <w:rPr>
          <w:rFonts w:ascii="Times New Roman" w:hAnsi="Times New Roman" w:cs="Times New Roman"/>
          <w:sz w:val="24"/>
          <w:szCs w:val="24"/>
          <w:lang w:val="ro-RO"/>
        </w:rPr>
        <w:t>a</w:t>
      </w:r>
      <w:r w:rsidR="002A0EC7" w:rsidRPr="00973027">
        <w:rPr>
          <w:rFonts w:ascii="Times New Roman" w:hAnsi="Times New Roman" w:cs="Times New Roman"/>
          <w:sz w:val="24"/>
          <w:szCs w:val="24"/>
          <w:lang w:val="ro-RO"/>
        </w:rPr>
        <w:t xml:space="preserve"> o cerință </w:t>
      </w:r>
      <w:r w:rsidR="00AB51A3" w:rsidRPr="00973027">
        <w:rPr>
          <w:rFonts w:ascii="Times New Roman" w:hAnsi="Times New Roman" w:cs="Times New Roman"/>
          <w:sz w:val="24"/>
          <w:szCs w:val="24"/>
          <w:lang w:val="ro-RO"/>
        </w:rPr>
        <w:t>de a colecta</w:t>
      </w:r>
      <w:r w:rsidR="00DB2C66" w:rsidRPr="00973027">
        <w:rPr>
          <w:rFonts w:ascii="Times New Roman" w:hAnsi="Times New Roman" w:cs="Times New Roman"/>
          <w:sz w:val="24"/>
          <w:szCs w:val="24"/>
          <w:lang w:val="ro-RO"/>
        </w:rPr>
        <w:t xml:space="preserve"> </w:t>
      </w:r>
      <w:r w:rsidR="004664AD" w:rsidRPr="00973027">
        <w:rPr>
          <w:rFonts w:ascii="Times New Roman" w:hAnsi="Times New Roman" w:cs="Times New Roman"/>
          <w:sz w:val="24"/>
          <w:szCs w:val="24"/>
          <w:lang w:val="ro-RO"/>
        </w:rPr>
        <w:t xml:space="preserve">5% </w:t>
      </w:r>
      <w:r w:rsidR="000468A6" w:rsidRPr="00973027">
        <w:rPr>
          <w:rFonts w:ascii="Times New Roman" w:hAnsi="Times New Roman" w:cs="Times New Roman"/>
          <w:sz w:val="24"/>
          <w:szCs w:val="24"/>
          <w:lang w:val="ro-RO"/>
        </w:rPr>
        <w:t>din semnăturile alegătorilor din circumscripția</w:t>
      </w:r>
      <w:r w:rsidR="00A53C24" w:rsidRPr="00973027">
        <w:rPr>
          <w:rFonts w:ascii="Times New Roman" w:hAnsi="Times New Roman" w:cs="Times New Roman"/>
          <w:sz w:val="24"/>
          <w:szCs w:val="24"/>
          <w:lang w:val="ro-RO"/>
        </w:rPr>
        <w:t xml:space="preserve"> în care</w:t>
      </w:r>
      <w:r w:rsidR="00B62E9D" w:rsidRPr="00973027">
        <w:rPr>
          <w:rFonts w:ascii="Times New Roman" w:hAnsi="Times New Roman" w:cs="Times New Roman"/>
          <w:sz w:val="24"/>
          <w:szCs w:val="24"/>
          <w:lang w:val="ro-RO"/>
        </w:rPr>
        <w:t xml:space="preserve"> un candidat independent intenționa </w:t>
      </w:r>
      <w:r w:rsidR="00A53C24" w:rsidRPr="00973027">
        <w:rPr>
          <w:rFonts w:ascii="Times New Roman" w:hAnsi="Times New Roman" w:cs="Times New Roman"/>
          <w:sz w:val="24"/>
          <w:szCs w:val="24"/>
          <w:lang w:val="ro-RO"/>
        </w:rPr>
        <w:t xml:space="preserve">să candideze. </w:t>
      </w:r>
      <w:r w:rsidR="00A4757A" w:rsidRPr="00973027">
        <w:rPr>
          <w:rFonts w:ascii="Times New Roman" w:hAnsi="Times New Roman" w:cs="Times New Roman"/>
          <w:sz w:val="24"/>
          <w:szCs w:val="24"/>
          <w:lang w:val="ro-RO"/>
        </w:rPr>
        <w:t>Acest 5% reprezent</w:t>
      </w:r>
      <w:r w:rsidR="00A7309A" w:rsidRPr="00973027">
        <w:rPr>
          <w:rFonts w:ascii="Times New Roman" w:hAnsi="Times New Roman" w:cs="Times New Roman"/>
          <w:sz w:val="24"/>
          <w:szCs w:val="24"/>
          <w:lang w:val="ro-RO"/>
        </w:rPr>
        <w:t>a</w:t>
      </w:r>
      <w:r w:rsidR="00A4757A" w:rsidRPr="00973027">
        <w:rPr>
          <w:rFonts w:ascii="Times New Roman" w:hAnsi="Times New Roman" w:cs="Times New Roman"/>
          <w:sz w:val="24"/>
          <w:szCs w:val="24"/>
          <w:lang w:val="ro-RO"/>
        </w:rPr>
        <w:t xml:space="preserve"> de la aproximativ 14,000 de semnături în Alba, la aproximativ 28,000 de semnături în Argeș și a</w:t>
      </w:r>
      <w:r w:rsidR="007A4113" w:rsidRPr="00973027">
        <w:rPr>
          <w:rFonts w:ascii="Times New Roman" w:hAnsi="Times New Roman" w:cs="Times New Roman"/>
          <w:sz w:val="24"/>
          <w:szCs w:val="24"/>
          <w:lang w:val="ro-RO"/>
        </w:rPr>
        <w:t>proximativ 90,000 în București, variind în funcție de dimensiunea</w:t>
      </w:r>
      <w:r w:rsidR="005709A3" w:rsidRPr="00973027">
        <w:rPr>
          <w:rFonts w:ascii="Times New Roman" w:hAnsi="Times New Roman" w:cs="Times New Roman"/>
          <w:sz w:val="24"/>
          <w:szCs w:val="24"/>
          <w:lang w:val="ro-RO"/>
        </w:rPr>
        <w:t xml:space="preserve"> electorală a</w:t>
      </w:r>
      <w:r w:rsidR="007A4113" w:rsidRPr="00973027">
        <w:rPr>
          <w:rFonts w:ascii="Times New Roman" w:hAnsi="Times New Roman" w:cs="Times New Roman"/>
          <w:sz w:val="24"/>
          <w:szCs w:val="24"/>
          <w:lang w:val="ro-RO"/>
        </w:rPr>
        <w:t xml:space="preserve"> circumscripției (județ)</w:t>
      </w:r>
      <w:r w:rsidR="001C7862" w:rsidRPr="00973027">
        <w:rPr>
          <w:rFonts w:ascii="Times New Roman" w:hAnsi="Times New Roman" w:cs="Times New Roman"/>
          <w:sz w:val="24"/>
          <w:szCs w:val="24"/>
          <w:lang w:val="ro-RO"/>
        </w:rPr>
        <w:t xml:space="preserve">. </w:t>
      </w:r>
    </w:p>
    <w:p w:rsidR="00345EBC" w:rsidRDefault="00161C74" w:rsidP="002566BB">
      <w:pPr>
        <w:autoSpaceDE w:val="0"/>
        <w:autoSpaceDN w:val="0"/>
        <w:adjustRightInd w:val="0"/>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Consultarea procesului legislativ pe care l-a urmat Legea a relevat logica legiuitorilor pentru stabilirea condițiiilor de înscriere în cursa pentru alegerile europarlamentare a partidelor și a candidaților independenți, iar aceasta este una a reprezentării</w:t>
      </w:r>
      <w:r w:rsidR="0066338A">
        <w:rPr>
          <w:rFonts w:ascii="Times New Roman" w:hAnsi="Times New Roman" w:cs="Times New Roman"/>
          <w:sz w:val="24"/>
          <w:szCs w:val="24"/>
          <w:lang w:val="ro-RO"/>
        </w:rPr>
        <w:t xml:space="preserve">. Candidații sunt nevoiți să </w:t>
      </w:r>
      <w:r w:rsidR="0066338A">
        <w:rPr>
          <w:rFonts w:ascii="Times New Roman" w:hAnsi="Times New Roman" w:cs="Times New Roman"/>
          <w:sz w:val="24"/>
          <w:szCs w:val="24"/>
          <w:lang w:val="ro-RO"/>
        </w:rPr>
        <w:lastRenderedPageBreak/>
        <w:t>dovedeasc</w:t>
      </w:r>
      <w:r w:rsidR="00EC19AC">
        <w:rPr>
          <w:rFonts w:ascii="Times New Roman" w:hAnsi="Times New Roman" w:cs="Times New Roman"/>
          <w:sz w:val="24"/>
          <w:szCs w:val="24"/>
          <w:lang w:val="ro-RO"/>
        </w:rPr>
        <w:t>ă, propriu-zis,</w:t>
      </w:r>
      <w:r w:rsidR="0066338A">
        <w:rPr>
          <w:rFonts w:ascii="Times New Roman" w:hAnsi="Times New Roman" w:cs="Times New Roman"/>
          <w:sz w:val="24"/>
          <w:szCs w:val="24"/>
          <w:lang w:val="ro-RO"/>
        </w:rPr>
        <w:t xml:space="preserve"> spijinul electoral mai înainte de a candida, </w:t>
      </w:r>
      <w:r w:rsidR="004E2351">
        <w:rPr>
          <w:rFonts w:ascii="Times New Roman" w:hAnsi="Times New Roman" w:cs="Times New Roman"/>
          <w:sz w:val="24"/>
          <w:szCs w:val="24"/>
          <w:lang w:val="ro-RO"/>
        </w:rPr>
        <w:t xml:space="preserve">fapt dovedit de semnăturile soliciate aproape egale cu numărul de voturi necesare pentru obținerea unui mandat. </w:t>
      </w:r>
      <w:r w:rsidR="0066338A">
        <w:rPr>
          <w:rFonts w:ascii="Times New Roman" w:hAnsi="Times New Roman" w:cs="Times New Roman"/>
          <w:sz w:val="24"/>
          <w:szCs w:val="24"/>
          <w:lang w:val="ro-RO"/>
        </w:rPr>
        <w:t>Conform rezultatelor publicate de către B</w:t>
      </w:r>
      <w:r w:rsidR="00EC19AC">
        <w:rPr>
          <w:rFonts w:ascii="Times New Roman" w:hAnsi="Times New Roman" w:cs="Times New Roman"/>
          <w:sz w:val="24"/>
          <w:szCs w:val="24"/>
          <w:lang w:val="ro-RO"/>
        </w:rPr>
        <w:t xml:space="preserve">iroul </w:t>
      </w:r>
      <w:r w:rsidR="0066338A">
        <w:rPr>
          <w:rFonts w:ascii="Times New Roman" w:hAnsi="Times New Roman" w:cs="Times New Roman"/>
          <w:sz w:val="24"/>
          <w:szCs w:val="24"/>
          <w:lang w:val="ro-RO"/>
        </w:rPr>
        <w:t>E</w:t>
      </w:r>
      <w:r w:rsidR="00EC19AC">
        <w:rPr>
          <w:rFonts w:ascii="Times New Roman" w:hAnsi="Times New Roman" w:cs="Times New Roman"/>
          <w:sz w:val="24"/>
          <w:szCs w:val="24"/>
          <w:lang w:val="ro-RO"/>
        </w:rPr>
        <w:t xml:space="preserve">lectoral </w:t>
      </w:r>
      <w:r w:rsidR="0066338A">
        <w:rPr>
          <w:rFonts w:ascii="Times New Roman" w:hAnsi="Times New Roman" w:cs="Times New Roman"/>
          <w:sz w:val="24"/>
          <w:szCs w:val="24"/>
          <w:lang w:val="ro-RO"/>
        </w:rPr>
        <w:t>C</w:t>
      </w:r>
      <w:r w:rsidR="00EC19AC">
        <w:rPr>
          <w:rFonts w:ascii="Times New Roman" w:hAnsi="Times New Roman" w:cs="Times New Roman"/>
          <w:sz w:val="24"/>
          <w:szCs w:val="24"/>
          <w:lang w:val="ro-RO"/>
        </w:rPr>
        <w:t>entral, înființat pentru alegerile europarlamentare din 2009,</w:t>
      </w:r>
      <w:r w:rsidR="0066338A">
        <w:rPr>
          <w:rFonts w:ascii="Times New Roman" w:hAnsi="Times New Roman" w:cs="Times New Roman"/>
          <w:sz w:val="24"/>
          <w:szCs w:val="24"/>
          <w:lang w:val="ro-RO"/>
        </w:rPr>
        <w:t xml:space="preserve"> pragul electoral de 5% s</w:t>
      </w:r>
      <w:r w:rsidR="00332DB5">
        <w:rPr>
          <w:rFonts w:ascii="Times New Roman" w:hAnsi="Times New Roman" w:cs="Times New Roman"/>
          <w:sz w:val="24"/>
          <w:szCs w:val="24"/>
          <w:lang w:val="ro-RO"/>
        </w:rPr>
        <w:t>-a constituit în 242,</w:t>
      </w:r>
      <w:r w:rsidR="000A6223">
        <w:rPr>
          <w:rFonts w:ascii="Times New Roman" w:hAnsi="Times New Roman" w:cs="Times New Roman"/>
          <w:sz w:val="24"/>
          <w:szCs w:val="24"/>
          <w:lang w:val="ro-RO"/>
        </w:rPr>
        <w:t>001</w:t>
      </w:r>
      <w:r w:rsidR="00332DB5">
        <w:rPr>
          <w:rFonts w:ascii="Times New Roman" w:hAnsi="Times New Roman" w:cs="Times New Roman"/>
          <w:sz w:val="24"/>
          <w:szCs w:val="24"/>
          <w:lang w:val="ro-RO"/>
        </w:rPr>
        <w:t xml:space="preserve"> de voturi, iar coeficientul electoral de 146,667</w:t>
      </w:r>
      <w:r w:rsidR="000A6223">
        <w:rPr>
          <w:rFonts w:ascii="Times New Roman" w:hAnsi="Times New Roman" w:cs="Times New Roman"/>
          <w:sz w:val="24"/>
          <w:szCs w:val="24"/>
          <w:lang w:val="ro-RO"/>
        </w:rPr>
        <w:t xml:space="preserve"> de voturi.</w:t>
      </w:r>
      <w:r w:rsidR="00332DB5">
        <w:rPr>
          <w:rStyle w:val="FootnoteReference"/>
          <w:rFonts w:ascii="Times New Roman" w:hAnsi="Times New Roman" w:cs="Times New Roman"/>
          <w:sz w:val="24"/>
          <w:szCs w:val="24"/>
          <w:lang w:val="ro-RO"/>
        </w:rPr>
        <w:footnoteReference w:id="45"/>
      </w:r>
      <w:r w:rsidR="00FE0333">
        <w:rPr>
          <w:rFonts w:ascii="Times New Roman" w:hAnsi="Times New Roman" w:cs="Times New Roman"/>
          <w:sz w:val="24"/>
          <w:szCs w:val="24"/>
          <w:lang w:val="ro-RO"/>
        </w:rPr>
        <w:t xml:space="preserve"> Vedem astfel că partidele au fost nevoite să adune 200,000 de voturi, adică aproape un număr de semnături </w:t>
      </w:r>
      <w:r w:rsidR="0057642E">
        <w:rPr>
          <w:rFonts w:ascii="Times New Roman" w:hAnsi="Times New Roman" w:cs="Times New Roman"/>
          <w:sz w:val="24"/>
          <w:szCs w:val="24"/>
          <w:lang w:val="ro-RO"/>
        </w:rPr>
        <w:t xml:space="preserve">egal cu </w:t>
      </w:r>
      <w:r w:rsidR="00FE0333">
        <w:rPr>
          <w:rFonts w:ascii="Times New Roman" w:hAnsi="Times New Roman" w:cs="Times New Roman"/>
          <w:sz w:val="24"/>
          <w:szCs w:val="24"/>
          <w:lang w:val="ro-RO"/>
        </w:rPr>
        <w:t>pragul electoral de 5%</w:t>
      </w:r>
      <w:r w:rsidR="00345EBC">
        <w:rPr>
          <w:rFonts w:ascii="Times New Roman" w:hAnsi="Times New Roman" w:cs="Times New Roman"/>
          <w:sz w:val="24"/>
          <w:szCs w:val="24"/>
          <w:lang w:val="ro-RO"/>
        </w:rPr>
        <w:t xml:space="preserve"> (mai precis, 4,13%)</w:t>
      </w:r>
      <w:r w:rsidR="00FE0333">
        <w:rPr>
          <w:rFonts w:ascii="Times New Roman" w:hAnsi="Times New Roman" w:cs="Times New Roman"/>
          <w:sz w:val="24"/>
          <w:szCs w:val="24"/>
          <w:lang w:val="ro-RO"/>
        </w:rPr>
        <w:t xml:space="preserve"> și candidații independenți 100,000 de voturi care reprezintă aproape coeficientul </w:t>
      </w:r>
      <w:r w:rsidR="003E0703">
        <w:rPr>
          <w:rFonts w:ascii="Times New Roman" w:hAnsi="Times New Roman" w:cs="Times New Roman"/>
          <w:sz w:val="24"/>
          <w:szCs w:val="24"/>
          <w:lang w:val="ro-RO"/>
        </w:rPr>
        <w:t>electoral</w:t>
      </w:r>
      <w:r w:rsidR="00345EBC">
        <w:rPr>
          <w:rFonts w:ascii="Times New Roman" w:hAnsi="Times New Roman" w:cs="Times New Roman"/>
          <w:sz w:val="24"/>
          <w:szCs w:val="24"/>
          <w:lang w:val="ro-RO"/>
        </w:rPr>
        <w:t xml:space="preserve"> (71,4%</w:t>
      </w:r>
      <w:r w:rsidR="004247FA">
        <w:rPr>
          <w:rFonts w:ascii="Times New Roman" w:hAnsi="Times New Roman" w:cs="Times New Roman"/>
          <w:sz w:val="24"/>
          <w:szCs w:val="24"/>
          <w:lang w:val="ro-RO"/>
        </w:rPr>
        <w:t xml:space="preserve"> din coeficientul electoral</w:t>
      </w:r>
      <w:r w:rsidR="00345EBC">
        <w:rPr>
          <w:rFonts w:ascii="Times New Roman" w:hAnsi="Times New Roman" w:cs="Times New Roman"/>
          <w:sz w:val="24"/>
          <w:szCs w:val="24"/>
          <w:lang w:val="ro-RO"/>
        </w:rPr>
        <w:t>)</w:t>
      </w:r>
      <w:r w:rsidR="003E0703">
        <w:rPr>
          <w:rFonts w:ascii="Times New Roman" w:hAnsi="Times New Roman" w:cs="Times New Roman"/>
          <w:sz w:val="24"/>
          <w:szCs w:val="24"/>
          <w:lang w:val="ro-RO"/>
        </w:rPr>
        <w:t xml:space="preserve">, </w:t>
      </w:r>
      <w:r w:rsidR="004E2351">
        <w:rPr>
          <w:rFonts w:ascii="Times New Roman" w:hAnsi="Times New Roman" w:cs="Times New Roman"/>
          <w:sz w:val="24"/>
          <w:szCs w:val="24"/>
          <w:lang w:val="ro-RO"/>
        </w:rPr>
        <w:t xml:space="preserve">adică numărul de voturi necesare pentru a obține un loc </w:t>
      </w:r>
      <w:r w:rsidR="00181A0E">
        <w:rPr>
          <w:rFonts w:ascii="Times New Roman" w:hAnsi="Times New Roman" w:cs="Times New Roman"/>
          <w:sz w:val="24"/>
          <w:szCs w:val="24"/>
          <w:lang w:val="ro-RO"/>
        </w:rPr>
        <w:t xml:space="preserve">în PE. Astfel, </w:t>
      </w:r>
      <w:r w:rsidR="0057642E">
        <w:rPr>
          <w:rFonts w:ascii="Times New Roman" w:hAnsi="Times New Roman" w:cs="Times New Roman"/>
          <w:sz w:val="24"/>
          <w:szCs w:val="24"/>
          <w:lang w:val="ro-RO"/>
        </w:rPr>
        <w:t>amble</w:t>
      </w:r>
      <w:r w:rsidR="00181A0E">
        <w:rPr>
          <w:rFonts w:ascii="Times New Roman" w:hAnsi="Times New Roman" w:cs="Times New Roman"/>
          <w:sz w:val="24"/>
          <w:szCs w:val="24"/>
          <w:lang w:val="ro-RO"/>
        </w:rPr>
        <w:t xml:space="preserve">, partide și independenți, </w:t>
      </w:r>
      <w:r w:rsidR="00BC1A24">
        <w:rPr>
          <w:rFonts w:ascii="Times New Roman" w:hAnsi="Times New Roman" w:cs="Times New Roman"/>
          <w:sz w:val="24"/>
          <w:szCs w:val="24"/>
          <w:lang w:val="ro-RO"/>
        </w:rPr>
        <w:t>pentru înscrierea în cursa electorală din 2009</w:t>
      </w:r>
      <w:r w:rsidR="0057642E">
        <w:rPr>
          <w:rFonts w:ascii="Times New Roman" w:hAnsi="Times New Roman" w:cs="Times New Roman"/>
          <w:sz w:val="24"/>
          <w:szCs w:val="24"/>
          <w:lang w:val="ro-RO"/>
        </w:rPr>
        <w:t>,</w:t>
      </w:r>
      <w:r w:rsidR="00BC1A24">
        <w:rPr>
          <w:rFonts w:ascii="Times New Roman" w:hAnsi="Times New Roman" w:cs="Times New Roman"/>
          <w:sz w:val="24"/>
          <w:szCs w:val="24"/>
          <w:lang w:val="ro-RO"/>
        </w:rPr>
        <w:t xml:space="preserve"> au fost nevoite să strângă un număr de semnături aproape egal cu numărul de voturi ne</w:t>
      </w:r>
      <w:r w:rsidR="006500E3">
        <w:rPr>
          <w:rFonts w:ascii="Times New Roman" w:hAnsi="Times New Roman" w:cs="Times New Roman"/>
          <w:sz w:val="24"/>
          <w:szCs w:val="24"/>
          <w:lang w:val="ro-RO"/>
        </w:rPr>
        <w:t>cesare pentru câștigarea unui mandat</w:t>
      </w:r>
      <w:r w:rsidR="00BC1A24">
        <w:rPr>
          <w:rFonts w:ascii="Times New Roman" w:hAnsi="Times New Roman" w:cs="Times New Roman"/>
          <w:sz w:val="24"/>
          <w:szCs w:val="24"/>
          <w:lang w:val="ro-RO"/>
        </w:rPr>
        <w:t xml:space="preserve"> în PE. Această situație legislativă </w:t>
      </w:r>
      <w:r w:rsidR="00B0779A">
        <w:rPr>
          <w:rFonts w:ascii="Times New Roman" w:hAnsi="Times New Roman" w:cs="Times New Roman"/>
          <w:sz w:val="24"/>
          <w:szCs w:val="24"/>
          <w:lang w:val="ro-RO"/>
        </w:rPr>
        <w:t xml:space="preserve">nu are justificare din punct de vedere democratic, </w:t>
      </w:r>
      <w:r w:rsidR="004247FA">
        <w:rPr>
          <w:rFonts w:ascii="Times New Roman" w:hAnsi="Times New Roman" w:cs="Times New Roman"/>
          <w:sz w:val="24"/>
          <w:szCs w:val="24"/>
          <w:lang w:val="ro-RO"/>
        </w:rPr>
        <w:t xml:space="preserve">deoarece, </w:t>
      </w:r>
      <w:r w:rsidR="00B0779A">
        <w:rPr>
          <w:rFonts w:ascii="Times New Roman" w:hAnsi="Times New Roman" w:cs="Times New Roman"/>
          <w:sz w:val="24"/>
          <w:szCs w:val="24"/>
          <w:lang w:val="ro-RO"/>
        </w:rPr>
        <w:t>practic, legea impune dovedirea unui sp</w:t>
      </w:r>
      <w:r w:rsidR="004247FA">
        <w:rPr>
          <w:rFonts w:ascii="Times New Roman" w:hAnsi="Times New Roman" w:cs="Times New Roman"/>
          <w:sz w:val="24"/>
          <w:szCs w:val="24"/>
          <w:lang w:val="ro-RO"/>
        </w:rPr>
        <w:t>r</w:t>
      </w:r>
      <w:r w:rsidR="00B0779A">
        <w:rPr>
          <w:rFonts w:ascii="Times New Roman" w:hAnsi="Times New Roman" w:cs="Times New Roman"/>
          <w:sz w:val="24"/>
          <w:szCs w:val="24"/>
          <w:lang w:val="ro-RO"/>
        </w:rPr>
        <w:t>ijin egal cu cel de la vot pentru înscrierea la alegeri. Dreptul de a candida, garantat de Constit</w:t>
      </w:r>
      <w:r w:rsidR="004247FA">
        <w:rPr>
          <w:rFonts w:ascii="Times New Roman" w:hAnsi="Times New Roman" w:cs="Times New Roman"/>
          <w:sz w:val="24"/>
          <w:szCs w:val="24"/>
          <w:lang w:val="ro-RO"/>
        </w:rPr>
        <w:t>uție fiind grav afectat, având în vedere că</w:t>
      </w:r>
      <w:r w:rsidR="00B0779A">
        <w:rPr>
          <w:rFonts w:ascii="Times New Roman" w:hAnsi="Times New Roman" w:cs="Times New Roman"/>
          <w:sz w:val="24"/>
          <w:szCs w:val="24"/>
          <w:lang w:val="ro-RO"/>
        </w:rPr>
        <w:t xml:space="preserve"> nu mai avem de-a face cu un drept ca atare</w:t>
      </w:r>
      <w:r w:rsidR="001F1E04">
        <w:rPr>
          <w:rFonts w:ascii="Times New Roman" w:hAnsi="Times New Roman" w:cs="Times New Roman"/>
          <w:sz w:val="24"/>
          <w:szCs w:val="24"/>
          <w:lang w:val="ro-RO"/>
        </w:rPr>
        <w:t xml:space="preserve"> garantat de Constituție</w:t>
      </w:r>
      <w:r w:rsidR="00B0779A">
        <w:rPr>
          <w:rFonts w:ascii="Times New Roman" w:hAnsi="Times New Roman" w:cs="Times New Roman"/>
          <w:sz w:val="24"/>
          <w:szCs w:val="24"/>
          <w:lang w:val="ro-RO"/>
        </w:rPr>
        <w:t>,</w:t>
      </w:r>
      <w:r w:rsidR="0052422C">
        <w:rPr>
          <w:rStyle w:val="FootnoteReference"/>
          <w:rFonts w:ascii="Times New Roman" w:hAnsi="Times New Roman" w:cs="Times New Roman"/>
          <w:sz w:val="24"/>
          <w:szCs w:val="24"/>
          <w:lang w:val="ro-RO"/>
        </w:rPr>
        <w:footnoteReference w:id="46"/>
      </w:r>
      <w:r w:rsidR="00B0779A">
        <w:rPr>
          <w:rFonts w:ascii="Times New Roman" w:hAnsi="Times New Roman" w:cs="Times New Roman"/>
          <w:sz w:val="24"/>
          <w:szCs w:val="24"/>
          <w:lang w:val="ro-RO"/>
        </w:rPr>
        <w:t xml:space="preserve"> ci cu un drept câștigat</w:t>
      </w:r>
      <w:r w:rsidR="001F1E04">
        <w:rPr>
          <w:rFonts w:ascii="Times New Roman" w:hAnsi="Times New Roman" w:cs="Times New Roman"/>
          <w:sz w:val="24"/>
          <w:szCs w:val="24"/>
          <w:lang w:val="ro-RO"/>
        </w:rPr>
        <w:t xml:space="preserve"> prin efort personal pentru fiecare alegere în parte. </w:t>
      </w:r>
      <w:r w:rsidR="00F53C10">
        <w:rPr>
          <w:rFonts w:ascii="Times New Roman" w:hAnsi="Times New Roman" w:cs="Times New Roman"/>
          <w:sz w:val="24"/>
          <w:szCs w:val="24"/>
          <w:lang w:val="ro-RO"/>
        </w:rPr>
        <w:t xml:space="preserve">În cazul </w:t>
      </w:r>
      <w:r w:rsidR="00E57E6B">
        <w:rPr>
          <w:rFonts w:ascii="Times New Roman" w:hAnsi="Times New Roman" w:cs="Times New Roman"/>
          <w:sz w:val="24"/>
          <w:szCs w:val="24"/>
          <w:lang w:val="ro-RO"/>
        </w:rPr>
        <w:t>României, putem vorbi de o situație care nu se află foarte departe de o reală</w:t>
      </w:r>
      <w:r w:rsidR="00F53C10">
        <w:rPr>
          <w:rFonts w:ascii="Times New Roman" w:hAnsi="Times New Roman" w:cs="Times New Roman"/>
          <w:sz w:val="24"/>
          <w:szCs w:val="24"/>
          <w:lang w:val="ro-RO"/>
        </w:rPr>
        <w:t xml:space="preserve"> îngrădire a dreptului de a fi ales pentru a fi membru al PE</w:t>
      </w:r>
      <w:r w:rsidR="00E10208">
        <w:rPr>
          <w:rFonts w:ascii="Times New Roman" w:hAnsi="Times New Roman" w:cs="Times New Roman"/>
          <w:sz w:val="24"/>
          <w:szCs w:val="24"/>
          <w:lang w:val="ro-RO"/>
        </w:rPr>
        <w:t xml:space="preserve">, situație asupra căreia literatura </w:t>
      </w:r>
      <w:r w:rsidR="00D97143">
        <w:rPr>
          <w:rFonts w:ascii="Times New Roman" w:hAnsi="Times New Roman" w:cs="Times New Roman"/>
          <w:sz w:val="24"/>
          <w:szCs w:val="24"/>
          <w:lang w:val="ro-RO"/>
        </w:rPr>
        <w:t xml:space="preserve">de specialitate atrage atenția, atâta vreme cât unui candidat i se impune să își dovedească </w:t>
      </w:r>
      <w:r w:rsidR="00527668">
        <w:rPr>
          <w:rFonts w:ascii="Times New Roman" w:hAnsi="Times New Roman" w:cs="Times New Roman"/>
          <w:sz w:val="24"/>
          <w:szCs w:val="24"/>
          <w:lang w:val="ro-RO"/>
        </w:rPr>
        <w:t>un sp</w:t>
      </w:r>
      <w:r w:rsidR="0057642E">
        <w:rPr>
          <w:rFonts w:ascii="Times New Roman" w:hAnsi="Times New Roman" w:cs="Times New Roman"/>
          <w:sz w:val="24"/>
          <w:szCs w:val="24"/>
          <w:lang w:val="ro-RO"/>
        </w:rPr>
        <w:t>r</w:t>
      </w:r>
      <w:r w:rsidR="00527668">
        <w:rPr>
          <w:rFonts w:ascii="Times New Roman" w:hAnsi="Times New Roman" w:cs="Times New Roman"/>
          <w:sz w:val="24"/>
          <w:szCs w:val="24"/>
          <w:lang w:val="ro-RO"/>
        </w:rPr>
        <w:t>ijin</w:t>
      </w:r>
      <w:r w:rsidR="00D97143">
        <w:rPr>
          <w:rFonts w:ascii="Times New Roman" w:hAnsi="Times New Roman" w:cs="Times New Roman"/>
          <w:sz w:val="24"/>
          <w:szCs w:val="24"/>
          <w:lang w:val="ro-RO"/>
        </w:rPr>
        <w:t xml:space="preserve"> politic egal cu cel al câștigării alegerilor înainte de alegeri. </w:t>
      </w:r>
      <w:r w:rsidR="00AC2A65">
        <w:rPr>
          <w:rFonts w:ascii="Times New Roman" w:hAnsi="Times New Roman" w:cs="Times New Roman"/>
          <w:sz w:val="24"/>
          <w:szCs w:val="24"/>
          <w:lang w:val="ro-RO"/>
        </w:rPr>
        <w:t>Pri</w:t>
      </w:r>
      <w:r w:rsidR="007814A2">
        <w:rPr>
          <w:rFonts w:ascii="Times New Roman" w:hAnsi="Times New Roman" w:cs="Times New Roman"/>
          <w:sz w:val="24"/>
          <w:szCs w:val="24"/>
          <w:lang w:val="ro-RO"/>
        </w:rPr>
        <w:t>vind procesul electoral</w:t>
      </w:r>
      <w:r w:rsidR="00AC2A65">
        <w:rPr>
          <w:rFonts w:ascii="Times New Roman" w:hAnsi="Times New Roman" w:cs="Times New Roman"/>
          <w:sz w:val="24"/>
          <w:szCs w:val="24"/>
          <w:lang w:val="ro-RO"/>
        </w:rPr>
        <w:t xml:space="preserve"> din această </w:t>
      </w:r>
      <w:r w:rsidR="00D97143">
        <w:rPr>
          <w:rFonts w:ascii="Times New Roman" w:hAnsi="Times New Roman" w:cs="Times New Roman"/>
          <w:sz w:val="24"/>
          <w:szCs w:val="24"/>
          <w:lang w:val="ro-RO"/>
        </w:rPr>
        <w:t>logică</w:t>
      </w:r>
      <w:r w:rsidR="00BC5C02">
        <w:rPr>
          <w:rFonts w:ascii="Times New Roman" w:hAnsi="Times New Roman" w:cs="Times New Roman"/>
          <w:sz w:val="24"/>
          <w:szCs w:val="24"/>
          <w:lang w:val="ro-RO"/>
        </w:rPr>
        <w:t xml:space="preserve"> a legiuitorilor</w:t>
      </w:r>
      <w:r w:rsidR="00236A20">
        <w:rPr>
          <w:rFonts w:ascii="Times New Roman" w:hAnsi="Times New Roman" w:cs="Times New Roman"/>
          <w:sz w:val="24"/>
          <w:szCs w:val="24"/>
          <w:lang w:val="ro-RO"/>
        </w:rPr>
        <w:t xml:space="preserve"> români</w:t>
      </w:r>
      <w:r w:rsidR="00D97143">
        <w:rPr>
          <w:rFonts w:ascii="Times New Roman" w:hAnsi="Times New Roman" w:cs="Times New Roman"/>
          <w:sz w:val="24"/>
          <w:szCs w:val="24"/>
          <w:lang w:val="ro-RO"/>
        </w:rPr>
        <w:t xml:space="preserve">, se pierde sensul campaniei electorale, a competiției electorale în sine, deoarece spijinul trebuie câștigat înainte de a avea loc competiția în sine de programe electorale. </w:t>
      </w:r>
    </w:p>
    <w:p w:rsidR="0057642E" w:rsidRDefault="0057642E" w:rsidP="0057642E">
      <w:pPr>
        <w:spacing w:after="0" w:line="240" w:lineRule="auto"/>
        <w:rPr>
          <w:rFonts w:ascii="Times New Roman" w:hAnsi="Times New Roman" w:cs="Times New Roman"/>
          <w:b/>
          <w:sz w:val="24"/>
          <w:szCs w:val="24"/>
          <w:lang w:val="ro-RO"/>
        </w:rPr>
      </w:pPr>
    </w:p>
    <w:p w:rsidR="00C330B0" w:rsidRPr="006D02E1" w:rsidRDefault="00874FC1" w:rsidP="006D02E1">
      <w:pPr>
        <w:pStyle w:val="ListParagraph"/>
        <w:numPr>
          <w:ilvl w:val="0"/>
          <w:numId w:val="9"/>
        </w:numPr>
        <w:spacing w:after="0" w:line="240" w:lineRule="auto"/>
        <w:rPr>
          <w:rFonts w:ascii="Times New Roman" w:hAnsi="Times New Roman" w:cs="Times New Roman"/>
          <w:b/>
          <w:sz w:val="24"/>
          <w:szCs w:val="24"/>
          <w:lang w:val="ro-RO"/>
        </w:rPr>
      </w:pPr>
      <w:r w:rsidRPr="006D02E1">
        <w:rPr>
          <w:rFonts w:ascii="Times New Roman" w:hAnsi="Times New Roman" w:cs="Times New Roman"/>
          <w:b/>
          <w:sz w:val="24"/>
          <w:szCs w:val="24"/>
          <w:lang w:val="ro-RO"/>
        </w:rPr>
        <w:t xml:space="preserve">Argumentele Curții Constituționale a României privind </w:t>
      </w:r>
      <w:r w:rsidR="007D7F99" w:rsidRPr="006D02E1">
        <w:rPr>
          <w:rFonts w:ascii="Times New Roman" w:hAnsi="Times New Roman" w:cs="Times New Roman"/>
          <w:b/>
          <w:sz w:val="24"/>
          <w:szCs w:val="24"/>
          <w:lang w:val="ro-RO"/>
        </w:rPr>
        <w:t>menținerea numărului de semnături pentru înscrierea la alegerile europarlamentare</w:t>
      </w:r>
    </w:p>
    <w:p w:rsidR="00874FC1" w:rsidRDefault="00874FC1" w:rsidP="002566BB">
      <w:pPr>
        <w:spacing w:after="0" w:line="240" w:lineRule="auto"/>
        <w:rPr>
          <w:rFonts w:ascii="Times New Roman" w:hAnsi="Times New Roman" w:cs="Times New Roman"/>
          <w:sz w:val="24"/>
          <w:szCs w:val="24"/>
          <w:lang w:val="ro-RO"/>
        </w:rPr>
      </w:pPr>
    </w:p>
    <w:p w:rsidR="00AE18CE" w:rsidRDefault="00D218F2" w:rsidP="00AE18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 existat câteva sesizări la CCR privind numărul mare de semnături solicitate pentru înregistrarea la alegerile europarlamentare, însă fără sorți de izbândă. </w:t>
      </w:r>
      <w:r w:rsidR="0050680D">
        <w:rPr>
          <w:rFonts w:ascii="Times New Roman" w:hAnsi="Times New Roman" w:cs="Times New Roman"/>
          <w:sz w:val="24"/>
          <w:szCs w:val="24"/>
          <w:lang w:val="ro-RO"/>
        </w:rPr>
        <w:t xml:space="preserve">Decizia </w:t>
      </w:r>
      <w:r w:rsidR="00EE5502">
        <w:rPr>
          <w:rFonts w:ascii="Times New Roman" w:hAnsi="Times New Roman" w:cs="Times New Roman"/>
          <w:sz w:val="24"/>
          <w:szCs w:val="24"/>
          <w:lang w:val="ro-RO"/>
        </w:rPr>
        <w:t xml:space="preserve">782/2009 a </w:t>
      </w:r>
      <w:r w:rsidR="0050680D">
        <w:rPr>
          <w:rFonts w:ascii="Times New Roman" w:hAnsi="Times New Roman" w:cs="Times New Roman"/>
          <w:sz w:val="24"/>
          <w:szCs w:val="24"/>
          <w:lang w:val="ro-RO"/>
        </w:rPr>
        <w:t>CCR referitoare la numărul mare de semnături solicitate pentru înregistrarea unui candidat la alegerile europarlamentare se referă, în primul rând, la constituționalitatea numărului mare de semnături pentru un candidat independent în raport cu numărul de semnături solicitate pentru un candidat-partid.</w:t>
      </w:r>
      <w:r w:rsidR="0050680D">
        <w:rPr>
          <w:rStyle w:val="FootnoteReference"/>
          <w:rFonts w:ascii="Times New Roman" w:hAnsi="Times New Roman" w:cs="Times New Roman"/>
          <w:sz w:val="24"/>
          <w:szCs w:val="24"/>
          <w:lang w:val="ro-RO"/>
        </w:rPr>
        <w:footnoteReference w:id="47"/>
      </w:r>
      <w:r w:rsidR="0050680D">
        <w:rPr>
          <w:rFonts w:ascii="Times New Roman" w:hAnsi="Times New Roman" w:cs="Times New Roman"/>
          <w:sz w:val="24"/>
          <w:szCs w:val="24"/>
          <w:lang w:val="ro-RO"/>
        </w:rPr>
        <w:t xml:space="preserve"> </w:t>
      </w:r>
      <w:r w:rsidR="003F01E4" w:rsidRPr="001D15D4">
        <w:rPr>
          <w:rFonts w:ascii="Times New Roman" w:hAnsi="Times New Roman" w:cs="Times New Roman"/>
          <w:sz w:val="24"/>
          <w:szCs w:val="24"/>
        </w:rPr>
        <w:t>Un potential candidat independent a sesizat Avocatul Poporului</w:t>
      </w:r>
      <w:r w:rsidR="00FC22F0">
        <w:rPr>
          <w:rFonts w:ascii="Times New Roman" w:hAnsi="Times New Roman" w:cs="Times New Roman"/>
          <w:sz w:val="24"/>
          <w:szCs w:val="24"/>
        </w:rPr>
        <w:t xml:space="preserve"> și apoi a fost sesizată CCR</w:t>
      </w:r>
      <w:r w:rsidR="003F01E4" w:rsidRPr="001D15D4">
        <w:rPr>
          <w:rFonts w:ascii="Times New Roman" w:hAnsi="Times New Roman" w:cs="Times New Roman"/>
          <w:sz w:val="24"/>
          <w:szCs w:val="24"/>
        </w:rPr>
        <w:t xml:space="preserve"> în privința neconsituționalității legii care solicit</w:t>
      </w:r>
      <w:r>
        <w:rPr>
          <w:rFonts w:ascii="Times New Roman" w:hAnsi="Times New Roman" w:cs="Times New Roman"/>
          <w:sz w:val="24"/>
          <w:szCs w:val="24"/>
        </w:rPr>
        <w:t>a</w:t>
      </w:r>
      <w:r w:rsidR="003F01E4" w:rsidRPr="001D15D4">
        <w:rPr>
          <w:rFonts w:ascii="Times New Roman" w:hAnsi="Times New Roman" w:cs="Times New Roman"/>
          <w:sz w:val="24"/>
          <w:szCs w:val="24"/>
        </w:rPr>
        <w:t xml:space="preserve"> mult prea multe semnături pentru înscrierea unui candidat independent în cursa electorală. </w:t>
      </w:r>
      <w:r w:rsidR="001979BC" w:rsidRPr="001D15D4">
        <w:rPr>
          <w:rStyle w:val="FootnoteReference"/>
          <w:rFonts w:ascii="Times New Roman" w:hAnsi="Times New Roman" w:cs="Times New Roman"/>
          <w:sz w:val="24"/>
          <w:szCs w:val="24"/>
        </w:rPr>
        <w:footnoteReference w:id="48"/>
      </w:r>
      <w:r w:rsidR="001979BC" w:rsidRPr="001D15D4">
        <w:rPr>
          <w:rFonts w:ascii="Times New Roman" w:hAnsi="Times New Roman" w:cs="Times New Roman"/>
          <w:sz w:val="24"/>
          <w:szCs w:val="24"/>
          <w:lang w:val="ro-RO"/>
        </w:rPr>
        <w:t xml:space="preserve"> </w:t>
      </w:r>
      <w:r w:rsidR="00AE18CE">
        <w:rPr>
          <w:rFonts w:asciiTheme="minorBidi" w:hAnsiTheme="minorBidi"/>
          <w:sz w:val="24"/>
          <w:szCs w:val="24"/>
          <w:lang w:val="ro-RO"/>
        </w:rPr>
        <w:t>Și cu alte ocazii, CCR a decis că un număr mare de semnături solicitat cetățenilor pentru a depune o candidatură este cât se poate de constituțional.</w:t>
      </w:r>
      <w:r w:rsidR="00AE18CE">
        <w:rPr>
          <w:rStyle w:val="FootnoteReference"/>
          <w:rFonts w:asciiTheme="minorBidi" w:hAnsiTheme="minorBidi"/>
          <w:sz w:val="24"/>
          <w:szCs w:val="24"/>
          <w:lang w:val="ro-RO"/>
        </w:rPr>
        <w:footnoteReference w:id="49"/>
      </w:r>
      <w:r w:rsidR="00AE18CE">
        <w:rPr>
          <w:rFonts w:asciiTheme="minorBidi" w:hAnsiTheme="minorBidi"/>
          <w:sz w:val="24"/>
          <w:szCs w:val="24"/>
          <w:lang w:val="ro-RO"/>
        </w:rPr>
        <w:t xml:space="preserve"> </w:t>
      </w:r>
    </w:p>
    <w:p w:rsidR="00AE18CE" w:rsidRDefault="006D02E1" w:rsidP="00AE18CE">
      <w:pPr>
        <w:spacing w:after="0" w:line="240" w:lineRule="auto"/>
        <w:ind w:firstLine="720"/>
        <w:jc w:val="both"/>
        <w:rPr>
          <w:rFonts w:asciiTheme="minorBidi" w:hAnsiTheme="minorBidi"/>
          <w:sz w:val="24"/>
          <w:szCs w:val="24"/>
          <w:lang w:val="ro-RO"/>
        </w:rPr>
      </w:pPr>
      <w:r>
        <w:rPr>
          <w:rFonts w:asciiTheme="minorBidi" w:hAnsiTheme="minorBidi"/>
          <w:sz w:val="24"/>
          <w:szCs w:val="24"/>
        </w:rPr>
        <w:t>Conform deciziilor CCR, c</w:t>
      </w:r>
      <w:r w:rsidR="00AE18CE" w:rsidRPr="00020BF8">
        <w:rPr>
          <w:rFonts w:asciiTheme="minorBidi" w:hAnsiTheme="minorBidi"/>
          <w:sz w:val="24"/>
          <w:szCs w:val="24"/>
        </w:rPr>
        <w:t>ondi</w:t>
      </w:r>
      <w:r w:rsidR="00AE18CE" w:rsidRPr="00020BF8">
        <w:rPr>
          <w:rFonts w:asciiTheme="minorBidi" w:hAnsiTheme="minorBidi"/>
          <w:sz w:val="24"/>
          <w:szCs w:val="24"/>
          <w:lang w:val="ro-RO"/>
        </w:rPr>
        <w:t xml:space="preserve">țiile de înregistrare a unui candidat la alegeri fac </w:t>
      </w:r>
      <w:r w:rsidR="00D218F2">
        <w:rPr>
          <w:rFonts w:asciiTheme="minorBidi" w:hAnsiTheme="minorBidi"/>
          <w:sz w:val="24"/>
          <w:szCs w:val="24"/>
          <w:lang w:val="ro-RO"/>
        </w:rPr>
        <w:t xml:space="preserve">parte din procedura electorală </w:t>
      </w:r>
      <w:r w:rsidR="00AE18CE" w:rsidRPr="00020BF8">
        <w:rPr>
          <w:rFonts w:asciiTheme="minorBidi" w:hAnsiTheme="minorBidi"/>
          <w:sz w:val="24"/>
          <w:szCs w:val="24"/>
          <w:lang w:val="ro-RO"/>
        </w:rPr>
        <w:t>(”</w:t>
      </w:r>
      <w:r w:rsidR="00AE18CE" w:rsidRPr="00020BF8">
        <w:rPr>
          <w:rFonts w:asciiTheme="minorBidi" w:hAnsiTheme="minorBidi"/>
          <w:color w:val="000000"/>
          <w:sz w:val="24"/>
          <w:szCs w:val="24"/>
          <w:shd w:val="clear" w:color="auto" w:fill="FFFFFF"/>
        </w:rPr>
        <w:t>depunerea candidaturii face parte din procedura electorală”</w:t>
      </w:r>
      <w:r w:rsidR="00AE18CE" w:rsidRPr="00020BF8">
        <w:rPr>
          <w:rFonts w:asciiTheme="minorBidi" w:hAnsiTheme="minorBidi"/>
          <w:sz w:val="24"/>
          <w:szCs w:val="24"/>
          <w:lang w:val="ro-RO"/>
        </w:rPr>
        <w:t>)</w:t>
      </w:r>
      <w:r w:rsidR="00AE18CE">
        <w:rPr>
          <w:rFonts w:asciiTheme="minorBidi" w:hAnsiTheme="minorBidi"/>
          <w:sz w:val="24"/>
          <w:szCs w:val="24"/>
          <w:lang w:val="ro-RO"/>
        </w:rPr>
        <w:t>.</w:t>
      </w:r>
      <w:r w:rsidR="00AE18CE" w:rsidRPr="00020BF8">
        <w:rPr>
          <w:rStyle w:val="FootnoteReference"/>
          <w:rFonts w:asciiTheme="minorBidi" w:hAnsiTheme="minorBidi"/>
          <w:sz w:val="24"/>
          <w:szCs w:val="24"/>
          <w:lang w:val="ro-RO"/>
        </w:rPr>
        <w:footnoteReference w:id="50"/>
      </w:r>
      <w:r w:rsidR="00AE18CE">
        <w:rPr>
          <w:rFonts w:asciiTheme="minorBidi" w:hAnsiTheme="minorBidi"/>
          <w:sz w:val="24"/>
          <w:szCs w:val="24"/>
          <w:lang w:val="ro-RO"/>
        </w:rPr>
        <w:t xml:space="preserve"> Ținând cont de acest argument al Curții Constituționale, teza precum că </w:t>
      </w:r>
      <w:r w:rsidR="00AE18CE">
        <w:rPr>
          <w:rFonts w:asciiTheme="minorBidi" w:hAnsiTheme="minorBidi"/>
          <w:sz w:val="24"/>
          <w:szCs w:val="24"/>
          <w:lang w:val="ro-RO"/>
        </w:rPr>
        <w:lastRenderedPageBreak/>
        <w:t xml:space="preserve">procesul electoral este afectat de un număr prea mare de semnături se consolidează. Avem </w:t>
      </w:r>
      <w:r w:rsidR="00D218F2">
        <w:rPr>
          <w:rFonts w:asciiTheme="minorBidi" w:hAnsiTheme="minorBidi"/>
          <w:sz w:val="24"/>
          <w:szCs w:val="24"/>
          <w:lang w:val="ro-RO"/>
        </w:rPr>
        <w:t>de-a face cu o distor</w:t>
      </w:r>
      <w:r w:rsidR="00AE18CE">
        <w:rPr>
          <w:rFonts w:asciiTheme="minorBidi" w:hAnsiTheme="minorBidi"/>
          <w:sz w:val="24"/>
          <w:szCs w:val="24"/>
          <w:lang w:val="ro-RO"/>
        </w:rPr>
        <w:t xml:space="preserve">sionare a procedurilor electorale reale; astfel </w:t>
      </w:r>
      <w:r w:rsidR="00AE18CE" w:rsidRPr="00EE5502">
        <w:rPr>
          <w:rFonts w:asciiTheme="minorBidi" w:hAnsiTheme="minorBidi"/>
          <w:sz w:val="24"/>
          <w:szCs w:val="24"/>
          <w:lang w:val="ro-RO"/>
        </w:rPr>
        <w:t>încât, campania electorală este nevoită să se mute înaintea momentului depunerii candidaturii pentru participarea la alegeri, iar semnăturile de depunere, atâta vreme cât sunt în număr egal aproape cu cele necesare obținerii unui mandat, se poate spune că pare un vot în sine. Înregistrarea candidaților și procesul care îi precedă de strângere de semnături se comportă ca un vot în sine. Sensul și rostul campaniei electorale, ca moment ce face parte din procedura electorală, deopotrivă</w:t>
      </w:r>
      <w:r w:rsidR="00AE18CE">
        <w:rPr>
          <w:rFonts w:asciiTheme="minorBidi" w:hAnsiTheme="minorBidi"/>
          <w:sz w:val="24"/>
          <w:szCs w:val="24"/>
          <w:lang w:val="ro-RO"/>
        </w:rPr>
        <w:t xml:space="preserve"> cu înregistrarea candidaților, este modificat și afectat în mare măsură. Rațiunea însăși de a exista a acestor condiții de înregistrare este, conform teoriei științei politice, de a descuraja candidaturile care nu sunt de calitate, candidații fără intenții seriose și de a da mai multă î</w:t>
      </w:r>
      <w:r w:rsidR="00EE5502">
        <w:rPr>
          <w:rFonts w:asciiTheme="minorBidi" w:hAnsiTheme="minorBidi"/>
          <w:sz w:val="24"/>
          <w:szCs w:val="24"/>
          <w:lang w:val="ro-RO"/>
        </w:rPr>
        <w:t xml:space="preserve">nsemnătate procesului electoral, așa cum am văzut în introducere la aspectele teoretice. </w:t>
      </w:r>
    </w:p>
    <w:p w:rsidR="00AE18CE" w:rsidRPr="00C212C7" w:rsidRDefault="00AE18CE" w:rsidP="00AE18CE">
      <w:pPr>
        <w:spacing w:after="0" w:line="240" w:lineRule="auto"/>
        <w:ind w:firstLine="720"/>
        <w:jc w:val="both"/>
        <w:rPr>
          <w:rFonts w:asciiTheme="minorBidi" w:hAnsiTheme="minorBidi"/>
          <w:sz w:val="24"/>
          <w:szCs w:val="24"/>
          <w:lang w:val="ro-RO"/>
        </w:rPr>
      </w:pPr>
      <w:r w:rsidRPr="00C212C7">
        <w:rPr>
          <w:rFonts w:asciiTheme="minorBidi" w:hAnsiTheme="minorBidi"/>
          <w:sz w:val="24"/>
          <w:szCs w:val="24"/>
          <w:lang w:val="ro-RO"/>
        </w:rPr>
        <w:t xml:space="preserve">Dreptul de a fi ales în acest caz se confundă cu alegerea în sine, altfel spus au dreptul de a candida la alegeri exclusiv candidații care vor câștiga, nu și candidații cu șanse mai mici de a obține un mandat. Astfel, legea selectează cațtigătorii mai înainte de a fi organizate alegeri, prin acest număr mare de semnături solicitate pentru înregistrarea unui candidat independent. </w:t>
      </w:r>
    </w:p>
    <w:p w:rsidR="00AE18CE" w:rsidRPr="00C212C7" w:rsidRDefault="00AE18CE" w:rsidP="00AE18CE">
      <w:pPr>
        <w:spacing w:after="0" w:line="240" w:lineRule="auto"/>
        <w:ind w:firstLine="720"/>
        <w:jc w:val="both"/>
        <w:rPr>
          <w:rFonts w:asciiTheme="minorBidi" w:hAnsiTheme="minorBidi"/>
          <w:sz w:val="24"/>
          <w:szCs w:val="24"/>
          <w:lang w:val="ro-RO"/>
        </w:rPr>
      </w:pPr>
      <w:r w:rsidRPr="00C212C7">
        <w:rPr>
          <w:rFonts w:asciiTheme="minorBidi" w:hAnsiTheme="minorBidi"/>
          <w:sz w:val="24"/>
          <w:szCs w:val="24"/>
          <w:lang w:val="ro-RO"/>
        </w:rPr>
        <w:t xml:space="preserve">Singura definiție legală a campaniei electorale </w:t>
      </w:r>
      <w:r>
        <w:rPr>
          <w:rFonts w:asciiTheme="minorBidi" w:hAnsiTheme="minorBidi"/>
          <w:sz w:val="24"/>
          <w:szCs w:val="24"/>
          <w:lang w:val="ro-RO"/>
        </w:rPr>
        <w:t>care a existat a aparținut</w:t>
      </w:r>
      <w:r w:rsidRPr="00C212C7">
        <w:rPr>
          <w:rFonts w:asciiTheme="minorBidi" w:hAnsiTheme="minorBidi"/>
          <w:sz w:val="24"/>
          <w:szCs w:val="24"/>
          <w:lang w:val="ro-RO"/>
        </w:rPr>
        <w:t xml:space="preserve"> unei legi abrogate</w:t>
      </w:r>
      <w:r>
        <w:rPr>
          <w:rFonts w:asciiTheme="minorBidi" w:hAnsiTheme="minorBidi"/>
          <w:sz w:val="24"/>
          <w:szCs w:val="24"/>
          <w:lang w:val="ro-RO"/>
        </w:rPr>
        <w:t>,</w:t>
      </w:r>
      <w:r w:rsidRPr="00C212C7">
        <w:rPr>
          <w:rFonts w:asciiTheme="minorBidi" w:hAnsiTheme="minorBidi"/>
          <w:sz w:val="24"/>
          <w:szCs w:val="24"/>
          <w:lang w:val="ro-RO"/>
        </w:rPr>
        <w:t xml:space="preserve"> 35/2008, </w:t>
      </w:r>
      <w:r>
        <w:rPr>
          <w:rFonts w:asciiTheme="minorBidi" w:hAnsiTheme="minorBidi"/>
          <w:sz w:val="24"/>
          <w:szCs w:val="24"/>
          <w:lang w:val="ro-RO"/>
        </w:rPr>
        <w:t>și are următorul conținut: ”</w:t>
      </w:r>
      <w:r w:rsidRPr="00C212C7">
        <w:rPr>
          <w:rFonts w:asciiTheme="minorBidi" w:hAnsiTheme="minorBidi"/>
          <w:sz w:val="24"/>
          <w:szCs w:val="24"/>
        </w:rPr>
        <w:t>perioadă în care competitorii electorali desfăşoară activităţi de propagandă cu scopul de a-i determina pe alegători să îşi e</w:t>
      </w:r>
      <w:r>
        <w:rPr>
          <w:rFonts w:asciiTheme="minorBidi" w:hAnsiTheme="minorBidi"/>
          <w:sz w:val="24"/>
          <w:szCs w:val="24"/>
        </w:rPr>
        <w:t xml:space="preserve">xprime voturile în favoarea lor.” În aceast perioadă, așa cum spune și definiția competitorii electorali ar trebui să îi convingă să fie votați, nu în perioada premergătoare procesului electoral. Constituționalitatea în sine a existenței unui anumit număr de semnături pentru înregistrarea unui candidat nu poate fi contestată, însă numărul mare de semnături, care poate duce la o restrângere a dreptului de a fi ales, prin faptul că face dreptul de a fi ales condiționat de imperativul de a fi ales în sine. </w:t>
      </w:r>
    </w:p>
    <w:p w:rsidR="00874FC1" w:rsidRPr="005B0FD8" w:rsidRDefault="00874FC1" w:rsidP="002566BB">
      <w:pPr>
        <w:spacing w:after="0" w:line="240" w:lineRule="auto"/>
        <w:rPr>
          <w:rFonts w:ascii="Times New Roman" w:hAnsi="Times New Roman" w:cs="Times New Roman"/>
          <w:sz w:val="24"/>
          <w:szCs w:val="24"/>
          <w:lang w:val="ro-RO"/>
        </w:rPr>
      </w:pPr>
    </w:p>
    <w:p w:rsidR="00AE18CE" w:rsidRPr="00AE18CE" w:rsidRDefault="00AE18CE" w:rsidP="00B551AB">
      <w:pPr>
        <w:pStyle w:val="Heading1"/>
        <w:numPr>
          <w:ilvl w:val="0"/>
          <w:numId w:val="9"/>
        </w:numPr>
        <w:spacing w:before="0" w:line="240" w:lineRule="auto"/>
        <w:jc w:val="both"/>
        <w:rPr>
          <w:rFonts w:ascii="Times New Roman" w:hAnsi="Times New Roman" w:cs="Times New Roman"/>
          <w:b/>
          <w:bCs/>
          <w:color w:val="auto"/>
          <w:sz w:val="24"/>
          <w:szCs w:val="24"/>
          <w:lang w:val="ro-RO"/>
        </w:rPr>
      </w:pPr>
      <w:r w:rsidRPr="00AE18CE">
        <w:rPr>
          <w:rFonts w:ascii="Times New Roman" w:hAnsi="Times New Roman" w:cs="Times New Roman"/>
          <w:b/>
          <w:bCs/>
          <w:color w:val="auto"/>
          <w:sz w:val="24"/>
          <w:szCs w:val="24"/>
          <w:lang w:val="ro-RO"/>
        </w:rPr>
        <w:lastRenderedPageBreak/>
        <w:t>Condițiile de înregistrare a candidaților la alegerile din România după 1990</w:t>
      </w:r>
    </w:p>
    <w:p w:rsidR="00B551AB" w:rsidRDefault="00B551AB" w:rsidP="002566BB">
      <w:pPr>
        <w:pStyle w:val="Heading1"/>
        <w:spacing w:before="0" w:line="240" w:lineRule="auto"/>
        <w:ind w:firstLine="720"/>
        <w:jc w:val="both"/>
        <w:rPr>
          <w:rFonts w:ascii="Times New Roman" w:hAnsi="Times New Roman" w:cs="Times New Roman"/>
          <w:color w:val="auto"/>
          <w:sz w:val="24"/>
          <w:szCs w:val="24"/>
          <w:lang w:val="ro-RO"/>
        </w:rPr>
      </w:pPr>
    </w:p>
    <w:p w:rsidR="00A73C7E" w:rsidRDefault="00B45E20" w:rsidP="002566BB">
      <w:pPr>
        <w:pStyle w:val="Heading1"/>
        <w:spacing w:before="0" w:line="240" w:lineRule="auto"/>
        <w:ind w:firstLine="720"/>
        <w:jc w:val="both"/>
        <w:rPr>
          <w:rFonts w:ascii="Times New Roman" w:hAnsi="Times New Roman" w:cs="Times New Roman"/>
          <w:color w:val="auto"/>
          <w:sz w:val="24"/>
          <w:szCs w:val="24"/>
          <w:lang w:val="ro-RO"/>
        </w:rPr>
      </w:pPr>
      <w:r w:rsidRPr="00442793">
        <w:rPr>
          <w:rFonts w:ascii="Times New Roman" w:hAnsi="Times New Roman" w:cs="Times New Roman"/>
          <w:color w:val="auto"/>
          <w:sz w:val="24"/>
          <w:szCs w:val="24"/>
          <w:lang w:val="ro-RO"/>
        </w:rPr>
        <w:t xml:space="preserve">Pentru a vedea și compara în termeni numerici procentele de semnături solicitate pentru independenți și partide de-a lungul perioadei </w:t>
      </w:r>
      <w:r>
        <w:rPr>
          <w:rFonts w:ascii="Times New Roman" w:hAnsi="Times New Roman" w:cs="Times New Roman"/>
          <w:color w:val="auto"/>
          <w:sz w:val="24"/>
          <w:szCs w:val="24"/>
          <w:lang w:val="ro-RO"/>
        </w:rPr>
        <w:t>post</w:t>
      </w:r>
      <w:r w:rsidRPr="00442793">
        <w:rPr>
          <w:rFonts w:ascii="Times New Roman" w:hAnsi="Times New Roman" w:cs="Times New Roman"/>
          <w:color w:val="auto"/>
          <w:sz w:val="24"/>
          <w:szCs w:val="24"/>
          <w:lang w:val="ro-RO"/>
        </w:rPr>
        <w:t>comuniste</w:t>
      </w:r>
      <w:r>
        <w:rPr>
          <w:rFonts w:ascii="Times New Roman" w:hAnsi="Times New Roman" w:cs="Times New Roman"/>
          <w:color w:val="auto"/>
          <w:sz w:val="24"/>
          <w:szCs w:val="24"/>
          <w:lang w:val="ro-RO"/>
        </w:rPr>
        <w:t>,</w:t>
      </w:r>
      <w:r w:rsidRPr="00442793">
        <w:rPr>
          <w:rFonts w:ascii="Times New Roman" w:hAnsi="Times New Roman" w:cs="Times New Roman"/>
          <w:color w:val="auto"/>
          <w:sz w:val="24"/>
          <w:szCs w:val="24"/>
          <w:lang w:val="ro-RO"/>
        </w:rPr>
        <w:t xml:space="preserve"> am </w:t>
      </w:r>
      <w:r>
        <w:rPr>
          <w:rFonts w:ascii="Times New Roman" w:hAnsi="Times New Roman" w:cs="Times New Roman"/>
          <w:color w:val="auto"/>
          <w:sz w:val="24"/>
          <w:szCs w:val="24"/>
          <w:lang w:val="ro-RO"/>
        </w:rPr>
        <w:t>calculat</w:t>
      </w:r>
      <w:r w:rsidRPr="00442793">
        <w:rPr>
          <w:rFonts w:ascii="Times New Roman" w:hAnsi="Times New Roman" w:cs="Times New Roman"/>
          <w:color w:val="auto"/>
          <w:sz w:val="24"/>
          <w:szCs w:val="24"/>
          <w:lang w:val="ro-RO"/>
        </w:rPr>
        <w:t xml:space="preserve"> pentru două circumscripții, Alba și București. Conform </w:t>
      </w:r>
      <w:r w:rsidRPr="00442793">
        <w:rPr>
          <w:rFonts w:ascii="Times New Roman" w:hAnsi="Times New Roman" w:cs="Times New Roman"/>
          <w:i/>
          <w:iCs/>
          <w:color w:val="auto"/>
          <w:sz w:val="24"/>
          <w:szCs w:val="24"/>
          <w:lang w:val="ro-RO"/>
        </w:rPr>
        <w:t>Decretului-Lege nr. 92 din 14 martie 1990 pentru alegerea parlamentului și a Președintelui României</w:t>
      </w:r>
      <w:r w:rsidRPr="00442793">
        <w:rPr>
          <w:rFonts w:ascii="Times New Roman" w:hAnsi="Times New Roman" w:cs="Times New Roman"/>
          <w:color w:val="auto"/>
          <w:sz w:val="24"/>
          <w:szCs w:val="24"/>
          <w:lang w:val="ro-RO"/>
        </w:rPr>
        <w:t>, candidații independenți au avut nevoie de 251 de semnături de susținere pentru a se înscrie în cursa electorală pentru un mandate de deputat sau de senator. Astfel, c</w:t>
      </w:r>
      <w:r w:rsidRPr="00442793">
        <w:rPr>
          <w:rFonts w:ascii="Times New Roman" w:hAnsi="Times New Roman" w:cs="Times New Roman"/>
          <w:color w:val="auto"/>
          <w:sz w:val="24"/>
          <w:szCs w:val="24"/>
          <w:shd w:val="clear" w:color="auto" w:fill="FFFFFF"/>
          <w:lang w:val="ro-RO"/>
        </w:rPr>
        <w:t xml:space="preserve">onform </w:t>
      </w:r>
      <w:r w:rsidRPr="00442793">
        <w:rPr>
          <w:rFonts w:ascii="Times New Roman" w:hAnsi="Times New Roman" w:cs="Times New Roman"/>
          <w:i/>
          <w:iCs/>
          <w:color w:val="auto"/>
          <w:sz w:val="24"/>
          <w:szCs w:val="24"/>
          <w:shd w:val="clear" w:color="auto" w:fill="FFFFFF"/>
          <w:lang w:val="ro-RO"/>
        </w:rPr>
        <w:t>Legii nr.68 din 15 iulie 1992 pentru alegerea Camerei Deputaţilor şi a Senatului</w:t>
      </w:r>
      <w:r w:rsidRPr="00442793">
        <w:rPr>
          <w:rFonts w:ascii="Times New Roman" w:hAnsi="Times New Roman" w:cs="Times New Roman"/>
          <w:color w:val="auto"/>
          <w:sz w:val="24"/>
          <w:szCs w:val="24"/>
          <w:shd w:val="clear" w:color="auto" w:fill="FFFFFF"/>
          <w:lang w:val="ro-RO"/>
        </w:rPr>
        <w:t xml:space="preserve">, care </w:t>
      </w:r>
      <w:r w:rsidR="00AE18CE">
        <w:rPr>
          <w:rFonts w:ascii="Times New Roman" w:hAnsi="Times New Roman" w:cs="Times New Roman"/>
          <w:color w:val="auto"/>
          <w:sz w:val="24"/>
          <w:szCs w:val="24"/>
          <w:shd w:val="clear" w:color="auto" w:fill="FFFFFF"/>
          <w:lang w:val="ro-RO"/>
        </w:rPr>
        <w:t>dădea posibilitatea</w:t>
      </w:r>
      <w:r w:rsidRPr="00442793">
        <w:rPr>
          <w:rFonts w:ascii="Times New Roman" w:hAnsi="Times New Roman" w:cs="Times New Roman"/>
          <w:color w:val="auto"/>
          <w:sz w:val="24"/>
          <w:szCs w:val="24"/>
          <w:shd w:val="clear" w:color="auto" w:fill="FFFFFF"/>
          <w:lang w:val="ro-RO"/>
        </w:rPr>
        <w:t xml:space="preserve"> </w:t>
      </w:r>
      <w:r w:rsidRPr="00824C5E">
        <w:rPr>
          <w:rFonts w:ascii="Times New Roman" w:hAnsi="Times New Roman" w:cs="Times New Roman"/>
          <w:color w:val="auto"/>
          <w:sz w:val="24"/>
          <w:szCs w:val="24"/>
          <w:shd w:val="clear" w:color="auto" w:fill="FFFFFF"/>
          <w:lang w:val="ro-RO"/>
        </w:rPr>
        <w:t>un</w:t>
      </w:r>
      <w:r w:rsidR="00AE18CE">
        <w:rPr>
          <w:rFonts w:ascii="Times New Roman" w:hAnsi="Times New Roman" w:cs="Times New Roman"/>
          <w:color w:val="auto"/>
          <w:sz w:val="24"/>
          <w:szCs w:val="24"/>
          <w:shd w:val="clear" w:color="auto" w:fill="FFFFFF"/>
          <w:lang w:val="ro-RO"/>
        </w:rPr>
        <w:t>ui</w:t>
      </w:r>
      <w:r w:rsidRPr="00824C5E">
        <w:rPr>
          <w:rFonts w:ascii="Times New Roman" w:hAnsi="Times New Roman" w:cs="Times New Roman"/>
          <w:color w:val="auto"/>
          <w:sz w:val="24"/>
          <w:szCs w:val="24"/>
          <w:shd w:val="clear" w:color="auto" w:fill="FFFFFF"/>
          <w:lang w:val="ro-RO"/>
        </w:rPr>
        <w:t xml:space="preserve"> candidat independent putea participa la alegeri individual, dacă era susținut de cel putin 0,5% din num</w:t>
      </w:r>
      <w:r w:rsidR="00C811A1" w:rsidRPr="00824C5E">
        <w:rPr>
          <w:rFonts w:ascii="Times New Roman" w:hAnsi="Times New Roman" w:cs="Times New Roman"/>
          <w:color w:val="auto"/>
          <w:sz w:val="24"/>
          <w:szCs w:val="24"/>
          <w:shd w:val="clear" w:color="auto" w:fill="FFFFFF"/>
          <w:lang w:val="ro-RO"/>
        </w:rPr>
        <w:t>ă</w:t>
      </w:r>
      <w:r w:rsidRPr="00824C5E">
        <w:rPr>
          <w:rFonts w:ascii="Times New Roman" w:hAnsi="Times New Roman" w:cs="Times New Roman"/>
          <w:color w:val="auto"/>
          <w:sz w:val="24"/>
          <w:szCs w:val="24"/>
          <w:shd w:val="clear" w:color="auto" w:fill="FFFFFF"/>
          <w:lang w:val="ro-RO"/>
        </w:rPr>
        <w:t xml:space="preserve">rul total al alegatorilor înscriși în listele permanente ale localităților situate în circumscripția electorală în care candida, fiind necesare un număr de aproximativ 1,500 de semnături pentru înregistrarea unui candidat independent la alegerile parlamentare în județul Alba și de aproximativ 8,300 de semnături pentru a candida în circumcripția nr.42, a municipiului București. Următoarea lege, cea din 2004, așa cum am văzut deja a ridicat numărul de semnături la 5% din alegătorii circumscripției, care reprezenta </w:t>
      </w:r>
      <w:r w:rsidRPr="00824C5E">
        <w:rPr>
          <w:rFonts w:ascii="Times New Roman" w:hAnsi="Times New Roman" w:cs="Times New Roman"/>
          <w:color w:val="auto"/>
          <w:sz w:val="24"/>
          <w:szCs w:val="24"/>
          <w:lang w:val="ro-RO"/>
        </w:rPr>
        <w:t xml:space="preserve">aproximativ 14,000 de semnături în circumscrpția nr.1, Alba și aproximativ 90,000 de semnături în București. Vedem, astfel, că a crescut de zece ori pragul de acces la buletinul de vot pentru candidații </w:t>
      </w:r>
      <w:r w:rsidRPr="004F4AA8">
        <w:rPr>
          <w:rFonts w:ascii="Times New Roman" w:hAnsi="Times New Roman" w:cs="Times New Roman"/>
          <w:color w:val="auto"/>
          <w:sz w:val="24"/>
          <w:szCs w:val="24"/>
          <w:lang w:val="ro-RO"/>
        </w:rPr>
        <w:t>independenți. Mai mult decât atât, numărul de semnături necesare pentru înregistrare</w:t>
      </w:r>
      <w:r w:rsidR="00AE18CE">
        <w:rPr>
          <w:rFonts w:ascii="Times New Roman" w:hAnsi="Times New Roman" w:cs="Times New Roman"/>
          <w:color w:val="auto"/>
          <w:sz w:val="24"/>
          <w:szCs w:val="24"/>
          <w:lang w:val="ro-RO"/>
        </w:rPr>
        <w:t>a candidaților independenți a  fost</w:t>
      </w:r>
      <w:r w:rsidRPr="004F4AA8">
        <w:rPr>
          <w:rFonts w:ascii="Times New Roman" w:hAnsi="Times New Roman" w:cs="Times New Roman"/>
          <w:color w:val="auto"/>
          <w:sz w:val="24"/>
          <w:szCs w:val="24"/>
          <w:lang w:val="ro-RO"/>
        </w:rPr>
        <w:t xml:space="preserve"> aproape patru ori mai mare decât numărul de membri fondatori, 25,000, necesari pentru a exista din punct de vedere juridic în 2004. În 2008, conform noii legi electorale, au fost necesare, </w:t>
      </w:r>
      <w:r w:rsidR="00AE18CE">
        <w:rPr>
          <w:rFonts w:ascii="Times New Roman" w:hAnsi="Times New Roman" w:cs="Times New Roman"/>
          <w:color w:val="auto"/>
          <w:sz w:val="24"/>
          <w:szCs w:val="24"/>
          <w:lang w:val="ro-RO"/>
        </w:rPr>
        <w:t>de exemplu</w:t>
      </w:r>
      <w:r w:rsidRPr="004F4AA8">
        <w:rPr>
          <w:rFonts w:ascii="Times New Roman" w:hAnsi="Times New Roman" w:cs="Times New Roman"/>
          <w:color w:val="auto"/>
          <w:sz w:val="24"/>
          <w:szCs w:val="24"/>
          <w:lang w:val="ro-RO"/>
        </w:rPr>
        <w:t>, în circumscripția nr.1, județul Alba, colegiul nr. 1, 2,688 de voturi pentru înregistrarea candidaților independenți și în circumscipția nr.42, municipiul București, colegiul nr.1, au fost necesare minimum, adică 2,000 deoarece conform calculelor în funcție de numărul de alegători, 4% a însemnat 1,563.</w:t>
      </w:r>
      <w:r w:rsidRPr="004F4AA8">
        <w:rPr>
          <w:rStyle w:val="FootnoteReference"/>
          <w:rFonts w:ascii="Times New Roman" w:hAnsi="Times New Roman" w:cs="Times New Roman"/>
          <w:color w:val="auto"/>
          <w:sz w:val="24"/>
          <w:szCs w:val="24"/>
          <w:lang w:val="ro-RO"/>
        </w:rPr>
        <w:footnoteReference w:id="51"/>
      </w:r>
      <w:r w:rsidR="004F4AA8" w:rsidRPr="004F4AA8">
        <w:rPr>
          <w:rFonts w:ascii="Times New Roman" w:hAnsi="Times New Roman" w:cs="Times New Roman"/>
          <w:color w:val="auto"/>
          <w:sz w:val="24"/>
          <w:szCs w:val="24"/>
          <w:lang w:val="ro-RO"/>
        </w:rPr>
        <w:t xml:space="preserve"> </w:t>
      </w:r>
      <w:r w:rsidR="00366E74" w:rsidRPr="004F4AA8">
        <w:rPr>
          <w:rFonts w:ascii="Times New Roman" w:hAnsi="Times New Roman" w:cs="Times New Roman"/>
          <w:color w:val="auto"/>
          <w:sz w:val="24"/>
          <w:szCs w:val="24"/>
          <w:lang w:val="ro-RO"/>
        </w:rPr>
        <w:t>N</w:t>
      </w:r>
      <w:r w:rsidRPr="004F4AA8">
        <w:rPr>
          <w:rFonts w:ascii="Times New Roman" w:hAnsi="Times New Roman" w:cs="Times New Roman"/>
          <w:color w:val="auto"/>
          <w:sz w:val="24"/>
          <w:szCs w:val="24"/>
          <w:lang w:val="ro-RO"/>
        </w:rPr>
        <w:t xml:space="preserve">oua lege electorală </w:t>
      </w:r>
      <w:r w:rsidR="00366E74" w:rsidRPr="004F4AA8">
        <w:rPr>
          <w:rFonts w:ascii="Times New Roman" w:hAnsi="Times New Roman" w:cs="Times New Roman"/>
          <w:color w:val="auto"/>
          <w:sz w:val="24"/>
          <w:szCs w:val="24"/>
          <w:lang w:val="ro-RO"/>
        </w:rPr>
        <w:t xml:space="preserve">din 2015 </w:t>
      </w:r>
      <w:r w:rsidRPr="004F4AA8">
        <w:rPr>
          <w:rFonts w:ascii="Times New Roman" w:hAnsi="Times New Roman" w:cs="Times New Roman"/>
          <w:color w:val="auto"/>
          <w:sz w:val="24"/>
          <w:szCs w:val="24"/>
          <w:lang w:val="ro-RO"/>
        </w:rPr>
        <w:t xml:space="preserve">a solicitat 3,145 de semnături în circumscripția nr.1, din județul Alba, atât pentru independenți, cât și pentru partide </w:t>
      </w:r>
      <w:r w:rsidRPr="00442793">
        <w:rPr>
          <w:rFonts w:ascii="Times New Roman" w:hAnsi="Times New Roman" w:cs="Times New Roman"/>
          <w:color w:val="auto"/>
          <w:sz w:val="24"/>
          <w:szCs w:val="24"/>
          <w:lang w:val="ro-RO"/>
        </w:rPr>
        <w:t>și 17,803 de semnături în București, circumscripția nr.</w:t>
      </w:r>
      <w:r>
        <w:rPr>
          <w:rFonts w:ascii="Times New Roman" w:hAnsi="Times New Roman" w:cs="Times New Roman"/>
          <w:sz w:val="24"/>
          <w:szCs w:val="24"/>
          <w:lang w:val="ro-RO"/>
        </w:rPr>
        <w:t xml:space="preserve"> </w:t>
      </w:r>
      <w:r w:rsidRPr="00442793">
        <w:rPr>
          <w:rFonts w:ascii="Times New Roman" w:hAnsi="Times New Roman" w:cs="Times New Roman"/>
          <w:color w:val="auto"/>
          <w:sz w:val="24"/>
          <w:szCs w:val="24"/>
          <w:lang w:val="ro-RO"/>
        </w:rPr>
        <w:t>42.</w:t>
      </w:r>
      <w:r w:rsidR="004F4AA8">
        <w:rPr>
          <w:rFonts w:ascii="Times New Roman" w:hAnsi="Times New Roman" w:cs="Times New Roman"/>
          <w:color w:val="auto"/>
          <w:sz w:val="24"/>
          <w:szCs w:val="24"/>
          <w:lang w:val="ro-RO"/>
        </w:rPr>
        <w:t xml:space="preserve"> Se vede astfel </w:t>
      </w:r>
      <w:r w:rsidR="005445C3">
        <w:rPr>
          <w:rFonts w:ascii="Times New Roman" w:hAnsi="Times New Roman" w:cs="Times New Roman"/>
          <w:color w:val="auto"/>
          <w:sz w:val="24"/>
          <w:szCs w:val="24"/>
          <w:lang w:val="ro-RO"/>
        </w:rPr>
        <w:t xml:space="preserve">că </w:t>
      </w:r>
      <w:r w:rsidR="00B30831">
        <w:rPr>
          <w:rFonts w:ascii="Times New Roman" w:hAnsi="Times New Roman" w:cs="Times New Roman"/>
          <w:color w:val="auto"/>
          <w:sz w:val="24"/>
          <w:szCs w:val="24"/>
          <w:lang w:val="ro-RO"/>
        </w:rPr>
        <w:t xml:space="preserve">numărul de semnături a crescut treptat în perioada </w:t>
      </w:r>
      <w:r w:rsidR="003F7E09">
        <w:rPr>
          <w:rFonts w:ascii="Times New Roman" w:hAnsi="Times New Roman" w:cs="Times New Roman"/>
          <w:color w:val="auto"/>
          <w:sz w:val="24"/>
          <w:szCs w:val="24"/>
          <w:lang w:val="ro-RO"/>
        </w:rPr>
        <w:t>post</w:t>
      </w:r>
      <w:r w:rsidR="00B30831">
        <w:rPr>
          <w:rFonts w:ascii="Times New Roman" w:hAnsi="Times New Roman" w:cs="Times New Roman"/>
          <w:color w:val="auto"/>
          <w:sz w:val="24"/>
          <w:szCs w:val="24"/>
          <w:lang w:val="ro-RO"/>
        </w:rPr>
        <w:t xml:space="preserve">comunistă </w:t>
      </w:r>
      <w:r w:rsidR="003F7E09">
        <w:rPr>
          <w:rFonts w:ascii="Times New Roman" w:hAnsi="Times New Roman" w:cs="Times New Roman"/>
          <w:color w:val="auto"/>
          <w:sz w:val="24"/>
          <w:szCs w:val="24"/>
          <w:lang w:val="ro-RO"/>
        </w:rPr>
        <w:t>pentru a înregistra un candidat în alegerile parlamentare</w:t>
      </w:r>
      <w:r w:rsidR="006D672C">
        <w:rPr>
          <w:rFonts w:ascii="Times New Roman" w:hAnsi="Times New Roman" w:cs="Times New Roman"/>
          <w:color w:val="auto"/>
          <w:sz w:val="24"/>
          <w:szCs w:val="24"/>
          <w:lang w:val="ro-RO"/>
        </w:rPr>
        <w:t xml:space="preserve">. </w:t>
      </w:r>
    </w:p>
    <w:p w:rsidR="00B45E20" w:rsidRDefault="006D672C" w:rsidP="002566BB">
      <w:pPr>
        <w:pStyle w:val="Heading1"/>
        <w:spacing w:before="0" w:line="240" w:lineRule="auto"/>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Tabelul ne arată că semnăturile necesare înregistrării unui candidat la alegerile europarlamentare sunt comparabile cu cele înregistrării competitorilor electorali în competiția pentru alegerea președintelui țării</w:t>
      </w:r>
      <w:r w:rsidR="00522BB1">
        <w:rPr>
          <w:rFonts w:ascii="Times New Roman" w:hAnsi="Times New Roman" w:cs="Times New Roman"/>
          <w:color w:val="auto"/>
          <w:sz w:val="24"/>
          <w:szCs w:val="24"/>
          <w:lang w:val="ro-RO"/>
        </w:rPr>
        <w:t>, nefiind vorba însă de același tip de reprezentativitate în termeni numerici, unu la treizeci și trei</w:t>
      </w:r>
      <w:r>
        <w:rPr>
          <w:rFonts w:ascii="Times New Roman" w:hAnsi="Times New Roman" w:cs="Times New Roman"/>
          <w:color w:val="auto"/>
          <w:sz w:val="24"/>
          <w:szCs w:val="24"/>
          <w:lang w:val="ro-RO"/>
        </w:rPr>
        <w:t xml:space="preserve">. </w:t>
      </w:r>
      <w:r w:rsidR="009F3CE0">
        <w:rPr>
          <w:rFonts w:ascii="Times New Roman" w:hAnsi="Times New Roman" w:cs="Times New Roman"/>
          <w:color w:val="auto"/>
          <w:sz w:val="24"/>
          <w:szCs w:val="24"/>
          <w:lang w:val="ro-RO"/>
        </w:rPr>
        <w:t xml:space="preserve">De asemenea, se observă că, în România, pentru toate alegerile, legiuitorii au optat pentru un număr mare de semnături de înregistrare. </w:t>
      </w:r>
    </w:p>
    <w:p w:rsidR="003E3267" w:rsidRDefault="003E3267" w:rsidP="003E3267">
      <w:pPr>
        <w:rPr>
          <w:lang w:val="ro-RO"/>
        </w:rPr>
      </w:pPr>
    </w:p>
    <w:p w:rsidR="003E3267" w:rsidRDefault="003E3267" w:rsidP="003E3267">
      <w:pPr>
        <w:rPr>
          <w:lang w:val="ro-RO"/>
        </w:rPr>
      </w:pPr>
    </w:p>
    <w:p w:rsidR="003E3267" w:rsidRDefault="003E3267" w:rsidP="003E3267">
      <w:pPr>
        <w:rPr>
          <w:lang w:val="ro-RO"/>
        </w:rPr>
      </w:pPr>
    </w:p>
    <w:p w:rsidR="003E3267" w:rsidRDefault="003E3267" w:rsidP="003E3267">
      <w:pPr>
        <w:rPr>
          <w:lang w:val="ro-RO"/>
        </w:rPr>
      </w:pPr>
    </w:p>
    <w:p w:rsidR="003E3267" w:rsidRDefault="003E3267" w:rsidP="003E3267">
      <w:pPr>
        <w:rPr>
          <w:lang w:val="ro-RO"/>
        </w:rPr>
      </w:pPr>
    </w:p>
    <w:p w:rsidR="003E3267" w:rsidRDefault="003E3267" w:rsidP="003E3267">
      <w:pPr>
        <w:rPr>
          <w:lang w:val="ro-RO"/>
        </w:rPr>
      </w:pPr>
    </w:p>
    <w:p w:rsidR="003E3267" w:rsidRDefault="003E3267" w:rsidP="003E3267">
      <w:pPr>
        <w:rPr>
          <w:lang w:val="ro-RO"/>
        </w:rPr>
      </w:pPr>
    </w:p>
    <w:p w:rsidR="003E3267" w:rsidRDefault="003E3267" w:rsidP="003E3267">
      <w:pPr>
        <w:rPr>
          <w:lang w:val="ro-RO"/>
        </w:rPr>
      </w:pPr>
    </w:p>
    <w:p w:rsidR="003E3267" w:rsidRDefault="003E3267" w:rsidP="003E3267">
      <w:pPr>
        <w:rPr>
          <w:lang w:val="ro-RO"/>
        </w:rPr>
      </w:pPr>
    </w:p>
    <w:tbl>
      <w:tblPr>
        <w:tblStyle w:val="TableGrid"/>
        <w:tblW w:w="8359" w:type="dxa"/>
        <w:tblLayout w:type="fixed"/>
        <w:tblLook w:val="04A0" w:firstRow="1" w:lastRow="0" w:firstColumn="1" w:lastColumn="0" w:noHBand="0" w:noVBand="1"/>
      </w:tblPr>
      <w:tblGrid>
        <w:gridCol w:w="846"/>
        <w:gridCol w:w="850"/>
        <w:gridCol w:w="993"/>
        <w:gridCol w:w="850"/>
        <w:gridCol w:w="992"/>
        <w:gridCol w:w="851"/>
        <w:gridCol w:w="992"/>
        <w:gridCol w:w="851"/>
        <w:gridCol w:w="1134"/>
      </w:tblGrid>
      <w:tr w:rsidR="00566E8E" w:rsidRPr="00E75DD8" w:rsidTr="00566E8E">
        <w:trPr>
          <w:trHeight w:val="701"/>
        </w:trPr>
        <w:tc>
          <w:tcPr>
            <w:tcW w:w="846" w:type="dxa"/>
          </w:tcPr>
          <w:p w:rsidR="001404D4" w:rsidRPr="00566E8E" w:rsidRDefault="00304487" w:rsidP="002566BB">
            <w:pPr>
              <w:jc w:val="both"/>
              <w:rPr>
                <w:rFonts w:asciiTheme="minorBidi" w:hAnsiTheme="minorBidi"/>
                <w:b/>
                <w:bCs/>
                <w:sz w:val="18"/>
                <w:szCs w:val="18"/>
                <w:shd w:val="clear" w:color="auto" w:fill="FFFFFF"/>
              </w:rPr>
            </w:pPr>
            <w:r w:rsidRPr="00566E8E">
              <w:rPr>
                <w:rFonts w:asciiTheme="minorBidi" w:hAnsiTheme="minorBidi"/>
                <w:b/>
                <w:bCs/>
                <w:sz w:val="18"/>
                <w:szCs w:val="18"/>
                <w:shd w:val="clear" w:color="auto" w:fill="FFFFFF"/>
              </w:rPr>
              <w:lastRenderedPageBreak/>
              <w:t>Anul emiterii legii</w:t>
            </w:r>
          </w:p>
        </w:tc>
        <w:tc>
          <w:tcPr>
            <w:tcW w:w="1843" w:type="dxa"/>
            <w:gridSpan w:val="2"/>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Europarlamentare</w:t>
            </w:r>
          </w:p>
          <w:p w:rsidR="001404D4" w:rsidRPr="00E75DD8" w:rsidRDefault="001404D4" w:rsidP="002566BB">
            <w:pPr>
              <w:jc w:val="both"/>
              <w:rPr>
                <w:rFonts w:asciiTheme="minorBidi" w:hAnsiTheme="minorBidi"/>
                <w:b/>
                <w:bCs/>
                <w:sz w:val="18"/>
                <w:szCs w:val="18"/>
                <w:shd w:val="clear" w:color="auto" w:fill="FFFFFF"/>
              </w:rPr>
            </w:pPr>
          </w:p>
        </w:tc>
        <w:tc>
          <w:tcPr>
            <w:tcW w:w="1842" w:type="dxa"/>
            <w:gridSpan w:val="2"/>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Parlamentare</w:t>
            </w:r>
          </w:p>
        </w:tc>
        <w:tc>
          <w:tcPr>
            <w:tcW w:w="1843" w:type="dxa"/>
            <w:gridSpan w:val="2"/>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 xml:space="preserve">Prezindețiale </w:t>
            </w:r>
          </w:p>
        </w:tc>
        <w:tc>
          <w:tcPr>
            <w:tcW w:w="1985" w:type="dxa"/>
            <w:gridSpan w:val="2"/>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Locale</w:t>
            </w:r>
          </w:p>
        </w:tc>
      </w:tr>
      <w:tr w:rsidR="00AA3C2C" w:rsidRPr="00E75DD8" w:rsidTr="00566E8E">
        <w:trPr>
          <w:trHeight w:val="350"/>
        </w:trPr>
        <w:tc>
          <w:tcPr>
            <w:tcW w:w="846" w:type="dxa"/>
          </w:tcPr>
          <w:p w:rsidR="001404D4" w:rsidRPr="00E75DD8" w:rsidRDefault="001404D4" w:rsidP="002566BB">
            <w:pPr>
              <w:jc w:val="both"/>
              <w:rPr>
                <w:rFonts w:asciiTheme="minorBidi" w:hAnsiTheme="minorBidi"/>
                <w:sz w:val="18"/>
                <w:szCs w:val="18"/>
                <w:shd w:val="clear" w:color="auto" w:fill="FFFFFF"/>
              </w:rPr>
            </w:pPr>
          </w:p>
        </w:tc>
        <w:tc>
          <w:tcPr>
            <w:tcW w:w="850" w:type="dxa"/>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Partide</w:t>
            </w:r>
          </w:p>
        </w:tc>
        <w:tc>
          <w:tcPr>
            <w:tcW w:w="993" w:type="dxa"/>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C.indep.</w:t>
            </w:r>
          </w:p>
        </w:tc>
        <w:tc>
          <w:tcPr>
            <w:tcW w:w="850" w:type="dxa"/>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Partide</w:t>
            </w:r>
          </w:p>
        </w:tc>
        <w:tc>
          <w:tcPr>
            <w:tcW w:w="992" w:type="dxa"/>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C.indep.</w:t>
            </w:r>
          </w:p>
        </w:tc>
        <w:tc>
          <w:tcPr>
            <w:tcW w:w="851" w:type="dxa"/>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Partide</w:t>
            </w:r>
          </w:p>
        </w:tc>
        <w:tc>
          <w:tcPr>
            <w:tcW w:w="992" w:type="dxa"/>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C.indep.</w:t>
            </w:r>
          </w:p>
        </w:tc>
        <w:tc>
          <w:tcPr>
            <w:tcW w:w="851" w:type="dxa"/>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Partide</w:t>
            </w:r>
          </w:p>
        </w:tc>
        <w:tc>
          <w:tcPr>
            <w:tcW w:w="1134" w:type="dxa"/>
          </w:tcPr>
          <w:p w:rsidR="001404D4" w:rsidRPr="00E75DD8" w:rsidRDefault="001404D4" w:rsidP="002566BB">
            <w:pPr>
              <w:jc w:val="both"/>
              <w:rPr>
                <w:rFonts w:asciiTheme="minorBidi" w:hAnsiTheme="minorBidi"/>
                <w:b/>
                <w:bCs/>
                <w:sz w:val="18"/>
                <w:szCs w:val="18"/>
                <w:shd w:val="clear" w:color="auto" w:fill="FFFFFF"/>
              </w:rPr>
            </w:pPr>
            <w:r w:rsidRPr="00E75DD8">
              <w:rPr>
                <w:rFonts w:asciiTheme="minorBidi" w:hAnsiTheme="minorBidi"/>
                <w:b/>
                <w:bCs/>
                <w:sz w:val="18"/>
                <w:szCs w:val="18"/>
                <w:shd w:val="clear" w:color="auto" w:fill="FFFFFF"/>
              </w:rPr>
              <w:t>C.indep.</w:t>
            </w:r>
          </w:p>
        </w:tc>
      </w:tr>
      <w:tr w:rsidR="00AA3C2C" w:rsidRPr="00E75DD8" w:rsidTr="00566E8E">
        <w:trPr>
          <w:trHeight w:val="331"/>
        </w:trPr>
        <w:tc>
          <w:tcPr>
            <w:tcW w:w="846" w:type="dxa"/>
          </w:tcPr>
          <w:p w:rsidR="00304487" w:rsidRPr="00E75DD8" w:rsidRDefault="00304487"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1990</w:t>
            </w:r>
          </w:p>
        </w:tc>
        <w:tc>
          <w:tcPr>
            <w:tcW w:w="850" w:type="dxa"/>
          </w:tcPr>
          <w:p w:rsidR="00304487" w:rsidRPr="00E75DD8" w:rsidRDefault="00805BE8" w:rsidP="002566BB">
            <w:pPr>
              <w:jc w:val="center"/>
              <w:rPr>
                <w:rFonts w:asciiTheme="minorBidi" w:hAnsiTheme="minorBidi"/>
                <w:sz w:val="18"/>
                <w:szCs w:val="18"/>
                <w:shd w:val="clear" w:color="auto" w:fill="FFFFFF"/>
              </w:rPr>
            </w:pPr>
            <w:r>
              <w:rPr>
                <w:rFonts w:asciiTheme="minorBidi" w:hAnsiTheme="minorBidi"/>
                <w:sz w:val="18"/>
                <w:szCs w:val="18"/>
                <w:shd w:val="clear" w:color="auto" w:fill="FFFFFF"/>
              </w:rPr>
              <w:t>-</w:t>
            </w:r>
          </w:p>
        </w:tc>
        <w:tc>
          <w:tcPr>
            <w:tcW w:w="993" w:type="dxa"/>
          </w:tcPr>
          <w:p w:rsidR="00304487" w:rsidRPr="00E75DD8" w:rsidRDefault="00304487"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t>-</w:t>
            </w:r>
          </w:p>
        </w:tc>
        <w:tc>
          <w:tcPr>
            <w:tcW w:w="850" w:type="dxa"/>
          </w:tcPr>
          <w:p w:rsidR="00304487" w:rsidRPr="00E75DD8" w:rsidRDefault="00304487"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0</w:t>
            </w:r>
          </w:p>
        </w:tc>
        <w:tc>
          <w:tcPr>
            <w:tcW w:w="992" w:type="dxa"/>
          </w:tcPr>
          <w:p w:rsidR="00304487" w:rsidRPr="00E75DD8" w:rsidRDefault="00ED2E4A"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251</w:t>
            </w:r>
          </w:p>
        </w:tc>
        <w:tc>
          <w:tcPr>
            <w:tcW w:w="851" w:type="dxa"/>
          </w:tcPr>
          <w:p w:rsidR="00304487" w:rsidRPr="00E75DD8" w:rsidRDefault="00304487"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100,000</w:t>
            </w:r>
          </w:p>
        </w:tc>
        <w:tc>
          <w:tcPr>
            <w:tcW w:w="992" w:type="dxa"/>
          </w:tcPr>
          <w:p w:rsidR="00304487" w:rsidRPr="00E75DD8" w:rsidRDefault="00304487"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100,000</w:t>
            </w:r>
          </w:p>
        </w:tc>
        <w:tc>
          <w:tcPr>
            <w:tcW w:w="851" w:type="dxa"/>
          </w:tcPr>
          <w:p w:rsidR="00304487" w:rsidRPr="00E75DD8" w:rsidRDefault="00AA3C2C" w:rsidP="002566BB">
            <w:pPr>
              <w:jc w:val="center"/>
              <w:rPr>
                <w:rFonts w:asciiTheme="minorBidi" w:hAnsiTheme="minorBidi"/>
                <w:sz w:val="18"/>
                <w:szCs w:val="18"/>
                <w:shd w:val="clear" w:color="auto" w:fill="FFFFFF"/>
              </w:rPr>
            </w:pPr>
            <w:r>
              <w:rPr>
                <w:rFonts w:asciiTheme="minorBidi" w:hAnsiTheme="minorBidi"/>
                <w:sz w:val="18"/>
                <w:szCs w:val="18"/>
                <w:shd w:val="clear" w:color="auto" w:fill="FFFFFF"/>
              </w:rPr>
              <w:t>-</w:t>
            </w:r>
          </w:p>
        </w:tc>
        <w:tc>
          <w:tcPr>
            <w:tcW w:w="1134" w:type="dxa"/>
          </w:tcPr>
          <w:p w:rsidR="00304487" w:rsidRPr="00E75DD8" w:rsidRDefault="00AA3C2C" w:rsidP="002566BB">
            <w:pPr>
              <w:jc w:val="center"/>
              <w:rPr>
                <w:rFonts w:asciiTheme="minorBidi" w:hAnsiTheme="minorBidi"/>
                <w:sz w:val="18"/>
                <w:szCs w:val="18"/>
                <w:shd w:val="clear" w:color="auto" w:fill="FFFFFF"/>
              </w:rPr>
            </w:pPr>
            <w:r>
              <w:rPr>
                <w:rFonts w:asciiTheme="minorBidi" w:hAnsiTheme="minorBidi"/>
                <w:sz w:val="18"/>
                <w:szCs w:val="18"/>
                <w:shd w:val="clear" w:color="auto" w:fill="FFFFFF"/>
              </w:rPr>
              <w:t>-</w:t>
            </w:r>
          </w:p>
        </w:tc>
      </w:tr>
      <w:tr w:rsidR="00AA3C2C" w:rsidRPr="00E75DD8" w:rsidTr="00566E8E">
        <w:trPr>
          <w:trHeight w:val="350"/>
        </w:trPr>
        <w:tc>
          <w:tcPr>
            <w:tcW w:w="846" w:type="dxa"/>
          </w:tcPr>
          <w:p w:rsidR="00AA3C2C" w:rsidRPr="00E75DD8" w:rsidRDefault="00AA3C2C" w:rsidP="002566BB">
            <w:pPr>
              <w:jc w:val="both"/>
              <w:rPr>
                <w:rFonts w:asciiTheme="minorBidi" w:hAnsiTheme="minorBidi"/>
                <w:sz w:val="18"/>
                <w:szCs w:val="18"/>
                <w:shd w:val="clear" w:color="auto" w:fill="FFFFFF"/>
              </w:rPr>
            </w:pPr>
            <w:r>
              <w:rPr>
                <w:rFonts w:asciiTheme="minorBidi" w:hAnsiTheme="minorBidi"/>
                <w:sz w:val="18"/>
                <w:szCs w:val="18"/>
                <w:shd w:val="clear" w:color="auto" w:fill="FFFFFF"/>
              </w:rPr>
              <w:t>1991</w:t>
            </w:r>
          </w:p>
        </w:tc>
        <w:tc>
          <w:tcPr>
            <w:tcW w:w="850" w:type="dxa"/>
          </w:tcPr>
          <w:p w:rsidR="00AA3C2C" w:rsidRPr="00805BE8" w:rsidRDefault="00AA3C2C" w:rsidP="002566BB">
            <w:pPr>
              <w:pStyle w:val="ListParagraph"/>
              <w:numPr>
                <w:ilvl w:val="0"/>
                <w:numId w:val="2"/>
              </w:numPr>
              <w:jc w:val="both"/>
              <w:rPr>
                <w:rFonts w:asciiTheme="minorBidi" w:hAnsiTheme="minorBidi"/>
                <w:sz w:val="18"/>
                <w:szCs w:val="18"/>
                <w:shd w:val="clear" w:color="auto" w:fill="FFFFFF"/>
              </w:rPr>
            </w:pPr>
          </w:p>
        </w:tc>
        <w:tc>
          <w:tcPr>
            <w:tcW w:w="993" w:type="dxa"/>
          </w:tcPr>
          <w:p w:rsidR="00AA3C2C" w:rsidRPr="00805BE8" w:rsidRDefault="00AA3C2C" w:rsidP="002566BB">
            <w:pPr>
              <w:pStyle w:val="ListParagraph"/>
              <w:numPr>
                <w:ilvl w:val="0"/>
                <w:numId w:val="2"/>
              </w:numPr>
              <w:jc w:val="both"/>
              <w:rPr>
                <w:rFonts w:asciiTheme="minorBidi" w:hAnsiTheme="minorBidi"/>
                <w:sz w:val="18"/>
                <w:szCs w:val="18"/>
                <w:shd w:val="clear" w:color="auto" w:fill="FFFFFF"/>
              </w:rPr>
            </w:pPr>
          </w:p>
        </w:tc>
        <w:tc>
          <w:tcPr>
            <w:tcW w:w="850" w:type="dxa"/>
          </w:tcPr>
          <w:p w:rsidR="00AA3C2C" w:rsidRPr="00805BE8" w:rsidRDefault="00AA3C2C" w:rsidP="002566BB">
            <w:pPr>
              <w:pStyle w:val="ListParagraph"/>
              <w:numPr>
                <w:ilvl w:val="0"/>
                <w:numId w:val="2"/>
              </w:numPr>
              <w:jc w:val="both"/>
              <w:rPr>
                <w:rFonts w:asciiTheme="minorBidi" w:hAnsiTheme="minorBidi"/>
                <w:sz w:val="18"/>
                <w:szCs w:val="18"/>
                <w:shd w:val="clear" w:color="auto" w:fill="FFFFFF"/>
              </w:rPr>
            </w:pPr>
          </w:p>
        </w:tc>
        <w:tc>
          <w:tcPr>
            <w:tcW w:w="992" w:type="dxa"/>
          </w:tcPr>
          <w:p w:rsidR="00AA3C2C" w:rsidRPr="00805BE8" w:rsidRDefault="00AA3C2C" w:rsidP="002566BB">
            <w:pPr>
              <w:pStyle w:val="ListParagraph"/>
              <w:numPr>
                <w:ilvl w:val="0"/>
                <w:numId w:val="2"/>
              </w:numPr>
              <w:jc w:val="both"/>
              <w:rPr>
                <w:rFonts w:asciiTheme="minorBidi" w:hAnsiTheme="minorBidi"/>
                <w:sz w:val="18"/>
                <w:szCs w:val="18"/>
                <w:shd w:val="clear" w:color="auto" w:fill="FFFFFF"/>
              </w:rPr>
            </w:pPr>
          </w:p>
        </w:tc>
        <w:tc>
          <w:tcPr>
            <w:tcW w:w="851" w:type="dxa"/>
          </w:tcPr>
          <w:p w:rsidR="00AA3C2C" w:rsidRPr="00805BE8" w:rsidRDefault="00AA3C2C" w:rsidP="002566BB">
            <w:pPr>
              <w:pStyle w:val="ListParagraph"/>
              <w:numPr>
                <w:ilvl w:val="0"/>
                <w:numId w:val="2"/>
              </w:numPr>
              <w:jc w:val="both"/>
              <w:rPr>
                <w:rFonts w:asciiTheme="minorBidi" w:hAnsiTheme="minorBidi"/>
                <w:sz w:val="18"/>
                <w:szCs w:val="18"/>
                <w:shd w:val="clear" w:color="auto" w:fill="FFFFFF"/>
              </w:rPr>
            </w:pPr>
          </w:p>
        </w:tc>
        <w:tc>
          <w:tcPr>
            <w:tcW w:w="992" w:type="dxa"/>
          </w:tcPr>
          <w:p w:rsidR="00AA3C2C" w:rsidRPr="00805BE8" w:rsidRDefault="00AA3C2C" w:rsidP="002566BB">
            <w:pPr>
              <w:pStyle w:val="ListParagraph"/>
              <w:numPr>
                <w:ilvl w:val="0"/>
                <w:numId w:val="2"/>
              </w:numPr>
              <w:jc w:val="both"/>
              <w:rPr>
                <w:rFonts w:asciiTheme="minorBidi" w:hAnsiTheme="minorBidi"/>
                <w:sz w:val="18"/>
                <w:szCs w:val="18"/>
                <w:shd w:val="clear" w:color="auto" w:fill="FFFFFF"/>
              </w:rPr>
            </w:pPr>
          </w:p>
        </w:tc>
        <w:tc>
          <w:tcPr>
            <w:tcW w:w="851" w:type="dxa"/>
          </w:tcPr>
          <w:p w:rsidR="00AA3C2C" w:rsidRPr="00805BE8" w:rsidRDefault="00AA3C2C" w:rsidP="002566BB">
            <w:pPr>
              <w:pStyle w:val="ListParagraph"/>
              <w:numPr>
                <w:ilvl w:val="0"/>
                <w:numId w:val="2"/>
              </w:numPr>
              <w:jc w:val="both"/>
              <w:rPr>
                <w:rFonts w:asciiTheme="minorBidi" w:hAnsiTheme="minorBidi"/>
                <w:sz w:val="18"/>
                <w:szCs w:val="18"/>
                <w:shd w:val="clear" w:color="auto" w:fill="FFFFFF"/>
              </w:rPr>
            </w:pPr>
          </w:p>
        </w:tc>
        <w:tc>
          <w:tcPr>
            <w:tcW w:w="1134" w:type="dxa"/>
          </w:tcPr>
          <w:p w:rsidR="00AA3C2C" w:rsidRPr="00E75DD8" w:rsidRDefault="00AA3C2C" w:rsidP="002566BB">
            <w:pPr>
              <w:jc w:val="both"/>
              <w:rPr>
                <w:rFonts w:asciiTheme="minorBidi" w:hAnsiTheme="minorBidi"/>
                <w:sz w:val="18"/>
                <w:szCs w:val="18"/>
                <w:shd w:val="clear" w:color="auto" w:fill="FFFFFF"/>
              </w:rPr>
            </w:pPr>
            <w:r>
              <w:rPr>
                <w:rFonts w:asciiTheme="minorBidi" w:hAnsiTheme="minorBidi"/>
                <w:sz w:val="18"/>
                <w:szCs w:val="18"/>
                <w:shd w:val="clear" w:color="auto" w:fill="FFFFFF"/>
              </w:rPr>
              <w:t>1% împărțit la numărul de consilieri și 1% pentru primari</w:t>
            </w:r>
            <w:r>
              <w:rPr>
                <w:rStyle w:val="FootnoteReference"/>
                <w:rFonts w:asciiTheme="minorBidi" w:hAnsiTheme="minorBidi"/>
                <w:sz w:val="18"/>
                <w:szCs w:val="18"/>
                <w:shd w:val="clear" w:color="auto" w:fill="FFFFFF"/>
              </w:rPr>
              <w:footnoteReference w:id="52"/>
            </w:r>
          </w:p>
        </w:tc>
      </w:tr>
      <w:tr w:rsidR="00AA3C2C" w:rsidRPr="00E75DD8" w:rsidTr="00566E8E">
        <w:trPr>
          <w:trHeight w:val="350"/>
        </w:trPr>
        <w:tc>
          <w:tcPr>
            <w:tcW w:w="846" w:type="dxa"/>
          </w:tcPr>
          <w:p w:rsidR="00304487" w:rsidRPr="00E75DD8" w:rsidRDefault="00304487"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t>1992</w:t>
            </w:r>
          </w:p>
        </w:tc>
        <w:tc>
          <w:tcPr>
            <w:tcW w:w="850" w:type="dxa"/>
          </w:tcPr>
          <w:p w:rsidR="00304487" w:rsidRPr="00E75DD8" w:rsidRDefault="00304487"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t>-</w:t>
            </w:r>
          </w:p>
        </w:tc>
        <w:tc>
          <w:tcPr>
            <w:tcW w:w="993" w:type="dxa"/>
          </w:tcPr>
          <w:p w:rsidR="00304487" w:rsidRPr="00E75DD8" w:rsidRDefault="00304487"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w:t>
            </w:r>
          </w:p>
        </w:tc>
        <w:tc>
          <w:tcPr>
            <w:tcW w:w="850" w:type="dxa"/>
          </w:tcPr>
          <w:p w:rsidR="00304487" w:rsidRPr="00E75DD8" w:rsidRDefault="008E3007"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0</w:t>
            </w:r>
          </w:p>
        </w:tc>
        <w:tc>
          <w:tcPr>
            <w:tcW w:w="992" w:type="dxa"/>
          </w:tcPr>
          <w:p w:rsidR="00304487" w:rsidRPr="00E75DD8" w:rsidRDefault="00304487"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0,5% din alegătorii circumscripției</w:t>
            </w:r>
          </w:p>
        </w:tc>
        <w:tc>
          <w:tcPr>
            <w:tcW w:w="851" w:type="dxa"/>
          </w:tcPr>
          <w:p w:rsidR="00304487" w:rsidRPr="00E75DD8" w:rsidRDefault="00304487"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100,000</w:t>
            </w:r>
          </w:p>
        </w:tc>
        <w:tc>
          <w:tcPr>
            <w:tcW w:w="992" w:type="dxa"/>
          </w:tcPr>
          <w:p w:rsidR="00304487" w:rsidRPr="00E75DD8" w:rsidRDefault="00304487"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100,000</w:t>
            </w:r>
          </w:p>
        </w:tc>
        <w:tc>
          <w:tcPr>
            <w:tcW w:w="851" w:type="dxa"/>
          </w:tcPr>
          <w:p w:rsidR="00304487" w:rsidRPr="00E75DD8" w:rsidRDefault="00304487" w:rsidP="002566BB">
            <w:pPr>
              <w:jc w:val="both"/>
              <w:rPr>
                <w:rFonts w:asciiTheme="minorBidi" w:hAnsiTheme="minorBidi"/>
                <w:sz w:val="18"/>
                <w:szCs w:val="18"/>
                <w:shd w:val="clear" w:color="auto" w:fill="FFFFFF"/>
              </w:rPr>
            </w:pPr>
          </w:p>
        </w:tc>
        <w:tc>
          <w:tcPr>
            <w:tcW w:w="1134" w:type="dxa"/>
          </w:tcPr>
          <w:p w:rsidR="00304487" w:rsidRPr="00E75DD8" w:rsidRDefault="00304487" w:rsidP="002566BB">
            <w:pPr>
              <w:jc w:val="both"/>
              <w:rPr>
                <w:rFonts w:asciiTheme="minorBidi" w:hAnsiTheme="minorBidi"/>
                <w:sz w:val="18"/>
                <w:szCs w:val="18"/>
                <w:shd w:val="clear" w:color="auto" w:fill="FFFFFF"/>
              </w:rPr>
            </w:pPr>
          </w:p>
        </w:tc>
      </w:tr>
      <w:tr w:rsidR="00AA3C2C" w:rsidRPr="00E75DD8" w:rsidTr="00566E8E">
        <w:trPr>
          <w:trHeight w:val="350"/>
        </w:trPr>
        <w:tc>
          <w:tcPr>
            <w:tcW w:w="846" w:type="dxa"/>
          </w:tcPr>
          <w:p w:rsidR="00304487" w:rsidRPr="00E75DD8" w:rsidRDefault="00304487"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t>2004</w:t>
            </w:r>
          </w:p>
        </w:tc>
        <w:tc>
          <w:tcPr>
            <w:tcW w:w="850" w:type="dxa"/>
          </w:tcPr>
          <w:p w:rsidR="00304487" w:rsidRPr="00E75DD8" w:rsidRDefault="00304487"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t>-</w:t>
            </w:r>
          </w:p>
        </w:tc>
        <w:tc>
          <w:tcPr>
            <w:tcW w:w="993" w:type="dxa"/>
          </w:tcPr>
          <w:p w:rsidR="00304487" w:rsidRPr="00E75DD8" w:rsidRDefault="00AD6B1D"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w:t>
            </w:r>
          </w:p>
        </w:tc>
        <w:tc>
          <w:tcPr>
            <w:tcW w:w="850" w:type="dxa"/>
          </w:tcPr>
          <w:p w:rsidR="00304487" w:rsidRPr="00E75DD8" w:rsidRDefault="00855116"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0</w:t>
            </w:r>
          </w:p>
        </w:tc>
        <w:tc>
          <w:tcPr>
            <w:tcW w:w="992" w:type="dxa"/>
          </w:tcPr>
          <w:p w:rsidR="00304487" w:rsidRPr="00E75DD8" w:rsidRDefault="00855116"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5% din alegătorii circumscripției</w:t>
            </w:r>
          </w:p>
        </w:tc>
        <w:tc>
          <w:tcPr>
            <w:tcW w:w="851" w:type="dxa"/>
          </w:tcPr>
          <w:p w:rsidR="00304487" w:rsidRPr="00E75DD8" w:rsidRDefault="00304487" w:rsidP="002566BB">
            <w:pPr>
              <w:jc w:val="both"/>
              <w:rPr>
                <w:rFonts w:asciiTheme="minorBidi" w:hAnsiTheme="minorBidi"/>
                <w:b/>
                <w:bCs/>
                <w:i/>
                <w:iCs/>
                <w:sz w:val="18"/>
                <w:szCs w:val="18"/>
                <w:shd w:val="clear" w:color="auto" w:fill="FFFFFF"/>
              </w:rPr>
            </w:pPr>
            <w:r w:rsidRPr="00E75DD8">
              <w:rPr>
                <w:rFonts w:asciiTheme="minorBidi" w:hAnsiTheme="minorBidi"/>
                <w:b/>
                <w:bCs/>
                <w:i/>
                <w:iCs/>
                <w:sz w:val="18"/>
                <w:szCs w:val="18"/>
                <w:shd w:val="clear" w:color="auto" w:fill="FFFFFF"/>
              </w:rPr>
              <w:t>200,000</w:t>
            </w:r>
          </w:p>
        </w:tc>
        <w:tc>
          <w:tcPr>
            <w:tcW w:w="992" w:type="dxa"/>
          </w:tcPr>
          <w:p w:rsidR="00304487" w:rsidRPr="00E75DD8" w:rsidRDefault="00304487" w:rsidP="002566BB">
            <w:pPr>
              <w:jc w:val="both"/>
              <w:rPr>
                <w:rFonts w:asciiTheme="minorBidi" w:hAnsiTheme="minorBidi"/>
                <w:b/>
                <w:bCs/>
                <w:i/>
                <w:iCs/>
                <w:sz w:val="18"/>
                <w:szCs w:val="18"/>
                <w:shd w:val="clear" w:color="auto" w:fill="FFFFFF"/>
              </w:rPr>
            </w:pPr>
            <w:r w:rsidRPr="00E75DD8">
              <w:rPr>
                <w:rFonts w:asciiTheme="minorBidi" w:hAnsiTheme="minorBidi"/>
                <w:b/>
                <w:bCs/>
                <w:i/>
                <w:iCs/>
                <w:sz w:val="18"/>
                <w:szCs w:val="18"/>
                <w:shd w:val="clear" w:color="auto" w:fill="FFFFFF"/>
              </w:rPr>
              <w:t>200,000</w:t>
            </w:r>
          </w:p>
        </w:tc>
        <w:tc>
          <w:tcPr>
            <w:tcW w:w="851" w:type="dxa"/>
          </w:tcPr>
          <w:p w:rsidR="00304487" w:rsidRPr="00E75DD8" w:rsidRDefault="00304487" w:rsidP="002566BB">
            <w:pPr>
              <w:jc w:val="both"/>
              <w:rPr>
                <w:rFonts w:asciiTheme="minorBidi" w:hAnsiTheme="minorBidi"/>
                <w:sz w:val="18"/>
                <w:szCs w:val="18"/>
                <w:shd w:val="clear" w:color="auto" w:fill="FFFFFF"/>
              </w:rPr>
            </w:pPr>
          </w:p>
        </w:tc>
        <w:tc>
          <w:tcPr>
            <w:tcW w:w="1134" w:type="dxa"/>
          </w:tcPr>
          <w:p w:rsidR="00304487" w:rsidRPr="00E75DD8" w:rsidRDefault="008C1D05"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1% pentru consilier și 2% pentru primar cu minime stabilite de lege</w:t>
            </w:r>
            <w:r w:rsidRPr="00E75DD8">
              <w:rPr>
                <w:rStyle w:val="FootnoteReference"/>
                <w:rFonts w:asciiTheme="minorBidi" w:hAnsiTheme="minorBidi"/>
                <w:sz w:val="18"/>
                <w:szCs w:val="18"/>
                <w:shd w:val="clear" w:color="auto" w:fill="FFFFFF"/>
              </w:rPr>
              <w:footnoteReference w:id="53"/>
            </w:r>
          </w:p>
        </w:tc>
      </w:tr>
      <w:tr w:rsidR="00AA3C2C" w:rsidRPr="00E75DD8" w:rsidTr="00566E8E">
        <w:trPr>
          <w:trHeight w:val="350"/>
        </w:trPr>
        <w:tc>
          <w:tcPr>
            <w:tcW w:w="846" w:type="dxa"/>
          </w:tcPr>
          <w:p w:rsidR="00304487" w:rsidRPr="00E75DD8" w:rsidRDefault="00304487"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t>2007</w:t>
            </w:r>
          </w:p>
        </w:tc>
        <w:tc>
          <w:tcPr>
            <w:tcW w:w="850" w:type="dxa"/>
          </w:tcPr>
          <w:p w:rsidR="00304487" w:rsidRPr="00E75DD8" w:rsidRDefault="00304487" w:rsidP="002566BB">
            <w:pPr>
              <w:jc w:val="center"/>
              <w:rPr>
                <w:rFonts w:asciiTheme="minorBidi" w:hAnsiTheme="minorBidi"/>
                <w:b/>
                <w:bCs/>
                <w:i/>
                <w:iCs/>
                <w:sz w:val="18"/>
                <w:szCs w:val="18"/>
                <w:shd w:val="clear" w:color="auto" w:fill="FFFFFF"/>
              </w:rPr>
            </w:pPr>
            <w:r w:rsidRPr="00E75DD8">
              <w:rPr>
                <w:rFonts w:asciiTheme="minorBidi" w:hAnsiTheme="minorBidi"/>
                <w:b/>
                <w:bCs/>
                <w:i/>
                <w:iCs/>
                <w:sz w:val="18"/>
                <w:szCs w:val="18"/>
                <w:shd w:val="clear" w:color="auto" w:fill="FFFFFF"/>
              </w:rPr>
              <w:t>200,000</w:t>
            </w:r>
          </w:p>
        </w:tc>
        <w:tc>
          <w:tcPr>
            <w:tcW w:w="993" w:type="dxa"/>
          </w:tcPr>
          <w:p w:rsidR="00304487" w:rsidRPr="00E75DD8" w:rsidRDefault="00304487" w:rsidP="002566BB">
            <w:pPr>
              <w:jc w:val="both"/>
              <w:rPr>
                <w:rFonts w:asciiTheme="minorBidi" w:hAnsiTheme="minorBidi"/>
                <w:b/>
                <w:bCs/>
                <w:i/>
                <w:iCs/>
                <w:sz w:val="18"/>
                <w:szCs w:val="18"/>
                <w:shd w:val="clear" w:color="auto" w:fill="FFFFFF"/>
              </w:rPr>
            </w:pPr>
            <w:r w:rsidRPr="00E75DD8">
              <w:rPr>
                <w:rFonts w:asciiTheme="minorBidi" w:hAnsiTheme="minorBidi"/>
                <w:b/>
                <w:bCs/>
                <w:i/>
                <w:iCs/>
                <w:sz w:val="18"/>
                <w:szCs w:val="18"/>
                <w:shd w:val="clear" w:color="auto" w:fill="FFFFFF"/>
              </w:rPr>
              <w:t>100,000</w:t>
            </w:r>
          </w:p>
        </w:tc>
        <w:tc>
          <w:tcPr>
            <w:tcW w:w="850" w:type="dxa"/>
          </w:tcPr>
          <w:p w:rsidR="00304487" w:rsidRPr="00E75DD8" w:rsidRDefault="00304487" w:rsidP="002566BB">
            <w:pPr>
              <w:pStyle w:val="ListParagraph"/>
              <w:numPr>
                <w:ilvl w:val="0"/>
                <w:numId w:val="2"/>
              </w:numPr>
              <w:jc w:val="both"/>
              <w:rPr>
                <w:rFonts w:asciiTheme="minorBidi" w:hAnsiTheme="minorBidi"/>
                <w:sz w:val="18"/>
                <w:szCs w:val="18"/>
                <w:shd w:val="clear" w:color="auto" w:fill="FFFFFF"/>
              </w:rPr>
            </w:pPr>
          </w:p>
        </w:tc>
        <w:tc>
          <w:tcPr>
            <w:tcW w:w="992" w:type="dxa"/>
          </w:tcPr>
          <w:p w:rsidR="00304487" w:rsidRPr="00E75DD8" w:rsidRDefault="00304487" w:rsidP="002566BB">
            <w:pPr>
              <w:pStyle w:val="ListParagraph"/>
              <w:numPr>
                <w:ilvl w:val="0"/>
                <w:numId w:val="2"/>
              </w:numPr>
              <w:jc w:val="both"/>
              <w:rPr>
                <w:rFonts w:asciiTheme="minorBidi" w:hAnsiTheme="minorBidi"/>
                <w:sz w:val="18"/>
                <w:szCs w:val="18"/>
                <w:shd w:val="clear" w:color="auto" w:fill="FFFFFF"/>
              </w:rPr>
            </w:pPr>
          </w:p>
        </w:tc>
        <w:tc>
          <w:tcPr>
            <w:tcW w:w="851" w:type="dxa"/>
          </w:tcPr>
          <w:p w:rsidR="00304487" w:rsidRPr="00E75DD8" w:rsidRDefault="00304487" w:rsidP="002566BB">
            <w:pPr>
              <w:pStyle w:val="ListParagraph"/>
              <w:numPr>
                <w:ilvl w:val="0"/>
                <w:numId w:val="2"/>
              </w:numPr>
              <w:jc w:val="both"/>
              <w:rPr>
                <w:rFonts w:asciiTheme="minorBidi" w:hAnsiTheme="minorBidi"/>
                <w:sz w:val="18"/>
                <w:szCs w:val="18"/>
                <w:shd w:val="clear" w:color="auto" w:fill="FFFFFF"/>
              </w:rPr>
            </w:pPr>
          </w:p>
        </w:tc>
        <w:tc>
          <w:tcPr>
            <w:tcW w:w="992" w:type="dxa"/>
          </w:tcPr>
          <w:p w:rsidR="00304487" w:rsidRPr="00E75DD8" w:rsidRDefault="00304487" w:rsidP="002566BB">
            <w:pPr>
              <w:pStyle w:val="ListParagraph"/>
              <w:numPr>
                <w:ilvl w:val="0"/>
                <w:numId w:val="2"/>
              </w:numPr>
              <w:jc w:val="both"/>
              <w:rPr>
                <w:rFonts w:asciiTheme="minorBidi" w:hAnsiTheme="minorBidi"/>
                <w:sz w:val="18"/>
                <w:szCs w:val="18"/>
                <w:shd w:val="clear" w:color="auto" w:fill="FFFFFF"/>
              </w:rPr>
            </w:pPr>
          </w:p>
        </w:tc>
        <w:tc>
          <w:tcPr>
            <w:tcW w:w="851" w:type="dxa"/>
          </w:tcPr>
          <w:p w:rsidR="00304487" w:rsidRPr="00E75DD8" w:rsidRDefault="00304487" w:rsidP="002566BB">
            <w:pPr>
              <w:pStyle w:val="ListParagraph"/>
              <w:numPr>
                <w:ilvl w:val="0"/>
                <w:numId w:val="2"/>
              </w:numPr>
              <w:jc w:val="both"/>
              <w:rPr>
                <w:rFonts w:asciiTheme="minorBidi" w:hAnsiTheme="minorBidi"/>
                <w:sz w:val="18"/>
                <w:szCs w:val="18"/>
                <w:shd w:val="clear" w:color="auto" w:fill="FFFFFF"/>
              </w:rPr>
            </w:pPr>
          </w:p>
        </w:tc>
        <w:tc>
          <w:tcPr>
            <w:tcW w:w="1134" w:type="dxa"/>
          </w:tcPr>
          <w:p w:rsidR="00304487" w:rsidRPr="00E75DD8" w:rsidRDefault="00304487" w:rsidP="002566BB">
            <w:pPr>
              <w:pStyle w:val="ListParagraph"/>
              <w:numPr>
                <w:ilvl w:val="0"/>
                <w:numId w:val="2"/>
              </w:numPr>
              <w:jc w:val="both"/>
              <w:rPr>
                <w:rFonts w:asciiTheme="minorBidi" w:hAnsiTheme="minorBidi"/>
                <w:sz w:val="18"/>
                <w:szCs w:val="18"/>
                <w:shd w:val="clear" w:color="auto" w:fill="FFFFFF"/>
              </w:rPr>
            </w:pPr>
          </w:p>
        </w:tc>
      </w:tr>
      <w:tr w:rsidR="00AA3C2C" w:rsidRPr="00E75DD8" w:rsidTr="00566E8E">
        <w:trPr>
          <w:trHeight w:val="350"/>
        </w:trPr>
        <w:tc>
          <w:tcPr>
            <w:tcW w:w="846" w:type="dxa"/>
          </w:tcPr>
          <w:p w:rsidR="00CE4E8D" w:rsidRPr="00E75DD8" w:rsidRDefault="00CE4E8D"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t>2008</w:t>
            </w:r>
          </w:p>
        </w:tc>
        <w:tc>
          <w:tcPr>
            <w:tcW w:w="850" w:type="dxa"/>
          </w:tcPr>
          <w:p w:rsidR="00CE4E8D" w:rsidRPr="00E75DD8" w:rsidRDefault="00CE4E8D"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t>-</w:t>
            </w:r>
          </w:p>
        </w:tc>
        <w:tc>
          <w:tcPr>
            <w:tcW w:w="993" w:type="dxa"/>
          </w:tcPr>
          <w:p w:rsidR="00CE4E8D" w:rsidRPr="00E75DD8" w:rsidRDefault="00CE4E8D"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w:t>
            </w:r>
          </w:p>
        </w:tc>
        <w:tc>
          <w:tcPr>
            <w:tcW w:w="850" w:type="dxa"/>
          </w:tcPr>
          <w:p w:rsidR="00CE4E8D" w:rsidRPr="00E75DD8" w:rsidRDefault="00CE4E8D" w:rsidP="002566BB">
            <w:pPr>
              <w:jc w:val="both"/>
              <w:rPr>
                <w:rFonts w:asciiTheme="minorBidi" w:hAnsiTheme="minorBidi"/>
                <w:sz w:val="18"/>
                <w:szCs w:val="18"/>
                <w:shd w:val="clear" w:color="auto" w:fill="FFFFFF"/>
              </w:rPr>
            </w:pPr>
            <w:r w:rsidRPr="00E75DD8">
              <w:rPr>
                <w:rFonts w:asciiTheme="minorBidi" w:hAnsiTheme="minorBidi"/>
                <w:sz w:val="18"/>
                <w:szCs w:val="18"/>
              </w:rPr>
              <w:t>5 salarii minime brute pe ţară pentru fiecare candidat</w:t>
            </w:r>
            <w:r w:rsidR="008A04E2" w:rsidRPr="00E75DD8">
              <w:rPr>
                <w:rStyle w:val="FootnoteReference"/>
                <w:rFonts w:asciiTheme="minorBidi" w:hAnsiTheme="minorBidi"/>
                <w:sz w:val="18"/>
                <w:szCs w:val="18"/>
              </w:rPr>
              <w:footnoteReference w:id="54"/>
            </w:r>
          </w:p>
        </w:tc>
        <w:tc>
          <w:tcPr>
            <w:tcW w:w="992" w:type="dxa"/>
          </w:tcPr>
          <w:p w:rsidR="00CE4E8D" w:rsidRPr="00E75DD8" w:rsidRDefault="00CE4E8D" w:rsidP="002566BB">
            <w:pPr>
              <w:jc w:val="both"/>
              <w:rPr>
                <w:rFonts w:asciiTheme="minorBidi" w:hAnsiTheme="minorBidi"/>
                <w:sz w:val="18"/>
                <w:szCs w:val="18"/>
                <w:shd w:val="clear" w:color="auto" w:fill="FFFFFF"/>
              </w:rPr>
            </w:pPr>
            <w:r w:rsidRPr="00E75DD8">
              <w:rPr>
                <w:rFonts w:asciiTheme="minorBidi" w:hAnsiTheme="minorBidi"/>
                <w:sz w:val="18"/>
                <w:szCs w:val="18"/>
                <w:shd w:val="clear" w:color="auto" w:fill="FFFFFF"/>
              </w:rPr>
              <w:t xml:space="preserve">5 salarii minime brute și </w:t>
            </w:r>
            <w:r w:rsidRPr="00E75DD8">
              <w:rPr>
                <w:rFonts w:asciiTheme="minorBidi" w:hAnsiTheme="minorBidi"/>
                <w:sz w:val="18"/>
                <w:szCs w:val="18"/>
              </w:rPr>
              <w:t xml:space="preserve">minimum 4% din colegiul uninominal, dar nu mai puţin de 2.000 de </w:t>
            </w:r>
            <w:r w:rsidRPr="00E75DD8">
              <w:rPr>
                <w:rFonts w:asciiTheme="minorBidi" w:hAnsiTheme="minorBidi"/>
                <w:sz w:val="18"/>
                <w:szCs w:val="18"/>
              </w:rPr>
              <w:lastRenderedPageBreak/>
              <w:t>alegători pentru CD și 4.000 pentru Sen.</w:t>
            </w:r>
            <w:r w:rsidR="00C21E39" w:rsidRPr="00E75DD8">
              <w:rPr>
                <w:rStyle w:val="FootnoteReference"/>
                <w:rFonts w:asciiTheme="minorBidi" w:hAnsiTheme="minorBidi"/>
                <w:sz w:val="18"/>
                <w:szCs w:val="18"/>
              </w:rPr>
              <w:footnoteReference w:id="55"/>
            </w:r>
          </w:p>
        </w:tc>
        <w:tc>
          <w:tcPr>
            <w:tcW w:w="851" w:type="dxa"/>
          </w:tcPr>
          <w:p w:rsidR="00CE4E8D" w:rsidRPr="00E75DD8" w:rsidRDefault="00CE4E8D" w:rsidP="002566BB">
            <w:pPr>
              <w:pStyle w:val="ListParagraph"/>
              <w:numPr>
                <w:ilvl w:val="0"/>
                <w:numId w:val="2"/>
              </w:numPr>
              <w:jc w:val="both"/>
              <w:rPr>
                <w:rFonts w:asciiTheme="minorBidi" w:hAnsiTheme="minorBidi"/>
                <w:sz w:val="18"/>
                <w:szCs w:val="18"/>
                <w:shd w:val="clear" w:color="auto" w:fill="FFFFFF"/>
              </w:rPr>
            </w:pPr>
          </w:p>
        </w:tc>
        <w:tc>
          <w:tcPr>
            <w:tcW w:w="992" w:type="dxa"/>
          </w:tcPr>
          <w:p w:rsidR="00CE4E8D" w:rsidRPr="00E75DD8" w:rsidRDefault="00CE4E8D" w:rsidP="002566BB">
            <w:pPr>
              <w:pStyle w:val="ListParagraph"/>
              <w:numPr>
                <w:ilvl w:val="0"/>
                <w:numId w:val="2"/>
              </w:numPr>
              <w:jc w:val="both"/>
              <w:rPr>
                <w:rFonts w:asciiTheme="minorBidi" w:hAnsiTheme="minorBidi"/>
                <w:sz w:val="18"/>
                <w:szCs w:val="18"/>
                <w:shd w:val="clear" w:color="auto" w:fill="FFFFFF"/>
              </w:rPr>
            </w:pPr>
          </w:p>
        </w:tc>
        <w:tc>
          <w:tcPr>
            <w:tcW w:w="851" w:type="dxa"/>
          </w:tcPr>
          <w:p w:rsidR="00CE4E8D" w:rsidRPr="00452953" w:rsidRDefault="00CE4E8D" w:rsidP="002566BB">
            <w:pPr>
              <w:pStyle w:val="ListParagraph"/>
              <w:numPr>
                <w:ilvl w:val="0"/>
                <w:numId w:val="2"/>
              </w:numPr>
              <w:jc w:val="both"/>
              <w:rPr>
                <w:rFonts w:asciiTheme="minorBidi" w:hAnsiTheme="minorBidi"/>
                <w:sz w:val="18"/>
                <w:szCs w:val="18"/>
                <w:shd w:val="clear" w:color="auto" w:fill="FFFFFF"/>
              </w:rPr>
            </w:pPr>
          </w:p>
        </w:tc>
        <w:tc>
          <w:tcPr>
            <w:tcW w:w="1134" w:type="dxa"/>
          </w:tcPr>
          <w:p w:rsidR="00CE4E8D" w:rsidRPr="00452953" w:rsidRDefault="00CE4E8D" w:rsidP="002566BB">
            <w:pPr>
              <w:pStyle w:val="ListParagraph"/>
              <w:numPr>
                <w:ilvl w:val="0"/>
                <w:numId w:val="2"/>
              </w:numPr>
              <w:jc w:val="both"/>
              <w:rPr>
                <w:rFonts w:asciiTheme="minorBidi" w:hAnsiTheme="minorBidi"/>
                <w:sz w:val="18"/>
                <w:szCs w:val="18"/>
                <w:shd w:val="clear" w:color="auto" w:fill="FFFFFF"/>
              </w:rPr>
            </w:pPr>
          </w:p>
        </w:tc>
      </w:tr>
      <w:tr w:rsidR="00AA3C2C" w:rsidRPr="00E75DD8" w:rsidTr="00566E8E">
        <w:trPr>
          <w:trHeight w:val="350"/>
        </w:trPr>
        <w:tc>
          <w:tcPr>
            <w:tcW w:w="846" w:type="dxa"/>
          </w:tcPr>
          <w:p w:rsidR="00C44F7E" w:rsidRPr="00E75DD8" w:rsidRDefault="00C44F7E"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lastRenderedPageBreak/>
              <w:t>2015</w:t>
            </w:r>
          </w:p>
        </w:tc>
        <w:tc>
          <w:tcPr>
            <w:tcW w:w="850" w:type="dxa"/>
          </w:tcPr>
          <w:p w:rsidR="00C44F7E" w:rsidRPr="00E75DD8" w:rsidRDefault="00C44F7E" w:rsidP="002566BB">
            <w:pPr>
              <w:jc w:val="center"/>
              <w:rPr>
                <w:rFonts w:asciiTheme="minorBidi" w:hAnsiTheme="minorBidi"/>
                <w:sz w:val="18"/>
                <w:szCs w:val="18"/>
                <w:shd w:val="clear" w:color="auto" w:fill="FFFFFF"/>
              </w:rPr>
            </w:pPr>
            <w:r w:rsidRPr="00E75DD8">
              <w:rPr>
                <w:rFonts w:asciiTheme="minorBidi" w:hAnsiTheme="minorBidi"/>
                <w:sz w:val="18"/>
                <w:szCs w:val="18"/>
                <w:shd w:val="clear" w:color="auto" w:fill="FFFFFF"/>
              </w:rPr>
              <w:t>-</w:t>
            </w:r>
          </w:p>
        </w:tc>
        <w:tc>
          <w:tcPr>
            <w:tcW w:w="993" w:type="dxa"/>
          </w:tcPr>
          <w:p w:rsidR="00C44F7E" w:rsidRPr="00E75DD8" w:rsidRDefault="00AE5956" w:rsidP="002566BB">
            <w:pPr>
              <w:jc w:val="both"/>
              <w:rPr>
                <w:rFonts w:asciiTheme="minorBidi" w:hAnsiTheme="minorBidi"/>
                <w:sz w:val="18"/>
                <w:szCs w:val="18"/>
                <w:shd w:val="clear" w:color="auto" w:fill="FFFFFF"/>
              </w:rPr>
            </w:pPr>
            <w:r>
              <w:rPr>
                <w:rFonts w:asciiTheme="minorBidi" w:hAnsiTheme="minorBidi"/>
                <w:sz w:val="18"/>
                <w:szCs w:val="18"/>
                <w:shd w:val="clear" w:color="auto" w:fill="FFFFFF"/>
              </w:rPr>
              <w:t xml:space="preserve"> </w:t>
            </w:r>
            <w:r w:rsidR="00C44F7E" w:rsidRPr="00E75DD8">
              <w:rPr>
                <w:rFonts w:asciiTheme="minorBidi" w:hAnsiTheme="minorBidi"/>
                <w:sz w:val="18"/>
                <w:szCs w:val="18"/>
                <w:shd w:val="clear" w:color="auto" w:fill="FFFFFF"/>
              </w:rPr>
              <w:t>-</w:t>
            </w:r>
          </w:p>
        </w:tc>
        <w:tc>
          <w:tcPr>
            <w:tcW w:w="850" w:type="dxa"/>
          </w:tcPr>
          <w:p w:rsidR="00C44F7E" w:rsidRPr="00E75DD8" w:rsidRDefault="00C44F7E" w:rsidP="002566BB">
            <w:pPr>
              <w:jc w:val="both"/>
              <w:rPr>
                <w:rFonts w:asciiTheme="minorBidi" w:hAnsiTheme="minorBidi"/>
                <w:b/>
                <w:bCs/>
                <w:i/>
                <w:iCs/>
                <w:sz w:val="18"/>
                <w:szCs w:val="18"/>
                <w:shd w:val="clear" w:color="auto" w:fill="FFFFFF"/>
              </w:rPr>
            </w:pPr>
            <w:r w:rsidRPr="00E75DD8">
              <w:rPr>
                <w:rFonts w:asciiTheme="minorBidi" w:hAnsiTheme="minorBidi"/>
                <w:b/>
                <w:bCs/>
                <w:i/>
                <w:iCs/>
                <w:sz w:val="18"/>
                <w:szCs w:val="18"/>
              </w:rPr>
              <w:t>minimum 1% din circumscripţia respectivă, nu mai puțin de 1.000 de alegători.</w:t>
            </w:r>
          </w:p>
        </w:tc>
        <w:tc>
          <w:tcPr>
            <w:tcW w:w="992" w:type="dxa"/>
          </w:tcPr>
          <w:p w:rsidR="00C44F7E" w:rsidRPr="00E75DD8" w:rsidRDefault="00C44F7E" w:rsidP="002566BB">
            <w:pPr>
              <w:jc w:val="both"/>
              <w:rPr>
                <w:rFonts w:asciiTheme="minorBidi" w:hAnsiTheme="minorBidi"/>
                <w:b/>
                <w:bCs/>
                <w:i/>
                <w:iCs/>
                <w:sz w:val="18"/>
                <w:szCs w:val="18"/>
                <w:shd w:val="clear" w:color="auto" w:fill="FFFFFF"/>
              </w:rPr>
            </w:pPr>
            <w:r w:rsidRPr="00E75DD8">
              <w:rPr>
                <w:rFonts w:asciiTheme="minorBidi" w:hAnsiTheme="minorBidi"/>
                <w:b/>
                <w:bCs/>
                <w:i/>
                <w:iCs/>
                <w:sz w:val="18"/>
                <w:szCs w:val="18"/>
              </w:rPr>
              <w:t>minimum 1% din circumscripţia respectivă, nu mai puțin de 1.000 de alegători.</w:t>
            </w:r>
          </w:p>
        </w:tc>
        <w:tc>
          <w:tcPr>
            <w:tcW w:w="851" w:type="dxa"/>
          </w:tcPr>
          <w:p w:rsidR="00C44F7E" w:rsidRPr="00E75DD8" w:rsidRDefault="00C44F7E" w:rsidP="002566BB">
            <w:pPr>
              <w:jc w:val="both"/>
              <w:rPr>
                <w:rFonts w:asciiTheme="minorBidi" w:hAnsiTheme="minorBidi"/>
                <w:sz w:val="18"/>
                <w:szCs w:val="18"/>
                <w:shd w:val="clear" w:color="auto" w:fill="FFFFFF"/>
              </w:rPr>
            </w:pPr>
          </w:p>
        </w:tc>
        <w:tc>
          <w:tcPr>
            <w:tcW w:w="992" w:type="dxa"/>
          </w:tcPr>
          <w:p w:rsidR="00C44F7E" w:rsidRPr="00E75DD8" w:rsidRDefault="00C44F7E" w:rsidP="002566BB">
            <w:pPr>
              <w:jc w:val="both"/>
              <w:rPr>
                <w:rFonts w:asciiTheme="minorBidi" w:hAnsiTheme="minorBidi"/>
                <w:sz w:val="18"/>
                <w:szCs w:val="18"/>
                <w:shd w:val="clear" w:color="auto" w:fill="FFFFFF"/>
              </w:rPr>
            </w:pPr>
          </w:p>
        </w:tc>
        <w:tc>
          <w:tcPr>
            <w:tcW w:w="851" w:type="dxa"/>
          </w:tcPr>
          <w:p w:rsidR="00C44F7E" w:rsidRPr="00AE5956" w:rsidRDefault="00B52BF4" w:rsidP="002566BB">
            <w:pPr>
              <w:jc w:val="both"/>
              <w:rPr>
                <w:rFonts w:asciiTheme="minorBidi" w:hAnsiTheme="minorBidi"/>
                <w:b/>
                <w:bCs/>
                <w:i/>
                <w:iCs/>
                <w:sz w:val="18"/>
                <w:szCs w:val="18"/>
                <w:shd w:val="clear" w:color="auto" w:fill="FFFFFF"/>
              </w:rPr>
            </w:pPr>
            <w:r w:rsidRPr="00AE5956">
              <w:rPr>
                <w:rFonts w:asciiTheme="minorBidi" w:hAnsiTheme="minorBidi"/>
                <w:b/>
                <w:bCs/>
                <w:i/>
                <w:iCs/>
                <w:sz w:val="18"/>
                <w:szCs w:val="18"/>
              </w:rPr>
              <w:t>minimum 1%</w:t>
            </w:r>
            <w:r w:rsidR="00D103E5" w:rsidRPr="00AE5956">
              <w:rPr>
                <w:rFonts w:asciiTheme="minorBidi" w:hAnsiTheme="minorBidi"/>
                <w:b/>
                <w:bCs/>
                <w:i/>
                <w:iCs/>
                <w:sz w:val="18"/>
                <w:szCs w:val="18"/>
              </w:rPr>
              <w:t xml:space="preserve"> cu minime stabilite de lege</w:t>
            </w:r>
            <w:r w:rsidR="00F131B9" w:rsidRPr="00AE5956">
              <w:rPr>
                <w:rStyle w:val="FootnoteReference"/>
                <w:rFonts w:asciiTheme="minorBidi" w:hAnsiTheme="minorBidi"/>
                <w:b/>
                <w:bCs/>
                <w:i/>
                <w:iCs/>
                <w:sz w:val="18"/>
                <w:szCs w:val="18"/>
              </w:rPr>
              <w:footnoteReference w:id="56"/>
            </w:r>
            <w:r w:rsidRPr="00AE5956">
              <w:rPr>
                <w:rFonts w:asciiTheme="minorBidi" w:hAnsiTheme="minorBidi"/>
                <w:b/>
                <w:bCs/>
                <w:i/>
                <w:iCs/>
                <w:sz w:val="18"/>
                <w:szCs w:val="18"/>
              </w:rPr>
              <w:t xml:space="preserve"> </w:t>
            </w:r>
          </w:p>
        </w:tc>
        <w:tc>
          <w:tcPr>
            <w:tcW w:w="1134" w:type="dxa"/>
          </w:tcPr>
          <w:p w:rsidR="00E75DD8" w:rsidRPr="00AE5956" w:rsidRDefault="00E75DD8" w:rsidP="002566BB">
            <w:pPr>
              <w:jc w:val="both"/>
              <w:rPr>
                <w:rFonts w:asciiTheme="minorBidi" w:hAnsiTheme="minorBidi"/>
                <w:b/>
                <w:bCs/>
                <w:i/>
                <w:iCs/>
                <w:sz w:val="18"/>
                <w:szCs w:val="18"/>
              </w:rPr>
            </w:pPr>
            <w:r w:rsidRPr="00AE5956">
              <w:rPr>
                <w:rFonts w:asciiTheme="minorBidi" w:hAnsiTheme="minorBidi"/>
                <w:b/>
                <w:bCs/>
                <w:i/>
                <w:iCs/>
                <w:sz w:val="18"/>
                <w:szCs w:val="18"/>
              </w:rPr>
              <w:t>minimum</w:t>
            </w:r>
          </w:p>
          <w:p w:rsidR="007621BC" w:rsidRPr="00AE5956" w:rsidRDefault="007621BC" w:rsidP="002566BB">
            <w:pPr>
              <w:jc w:val="both"/>
              <w:rPr>
                <w:rFonts w:asciiTheme="minorBidi" w:hAnsiTheme="minorBidi"/>
                <w:b/>
                <w:bCs/>
                <w:i/>
                <w:iCs/>
                <w:sz w:val="18"/>
                <w:szCs w:val="18"/>
                <w:shd w:val="clear" w:color="auto" w:fill="FFFFFF"/>
              </w:rPr>
            </w:pPr>
            <w:r w:rsidRPr="00AE5956">
              <w:rPr>
                <w:rFonts w:asciiTheme="minorBidi" w:hAnsiTheme="minorBidi"/>
                <w:b/>
                <w:bCs/>
                <w:i/>
                <w:iCs/>
                <w:sz w:val="18"/>
                <w:szCs w:val="18"/>
              </w:rPr>
              <w:t>1%</w:t>
            </w:r>
            <w:r w:rsidR="00D103E5" w:rsidRPr="00AE5956">
              <w:rPr>
                <w:rFonts w:asciiTheme="minorBidi" w:hAnsiTheme="minorBidi"/>
                <w:b/>
                <w:bCs/>
                <w:i/>
                <w:iCs/>
                <w:sz w:val="18"/>
                <w:szCs w:val="18"/>
              </w:rPr>
              <w:t xml:space="preserve"> cu minime stabilite de lege</w:t>
            </w:r>
            <w:r w:rsidR="00F131B9" w:rsidRPr="00AE5956">
              <w:rPr>
                <w:rStyle w:val="FootnoteReference"/>
                <w:rFonts w:asciiTheme="minorBidi" w:hAnsiTheme="minorBidi"/>
                <w:b/>
                <w:bCs/>
                <w:i/>
                <w:iCs/>
                <w:sz w:val="18"/>
                <w:szCs w:val="18"/>
              </w:rPr>
              <w:footnoteReference w:id="57"/>
            </w:r>
            <w:r w:rsidRPr="00AE5956">
              <w:rPr>
                <w:rFonts w:asciiTheme="minorBidi" w:hAnsiTheme="minorBidi"/>
                <w:b/>
                <w:bCs/>
                <w:i/>
                <w:iCs/>
                <w:sz w:val="18"/>
                <w:szCs w:val="18"/>
              </w:rPr>
              <w:t xml:space="preserve"> </w:t>
            </w:r>
          </w:p>
          <w:p w:rsidR="007621BC" w:rsidRPr="00AE5956" w:rsidRDefault="007621BC" w:rsidP="002566BB">
            <w:pPr>
              <w:jc w:val="both"/>
              <w:rPr>
                <w:rFonts w:asciiTheme="minorBidi" w:hAnsiTheme="minorBidi"/>
                <w:b/>
                <w:bCs/>
                <w:i/>
                <w:iCs/>
                <w:sz w:val="18"/>
                <w:szCs w:val="18"/>
                <w:shd w:val="clear" w:color="auto" w:fill="FFFFFF"/>
              </w:rPr>
            </w:pPr>
          </w:p>
          <w:p w:rsidR="007621BC" w:rsidRPr="00AE5956" w:rsidRDefault="007621BC" w:rsidP="002566BB">
            <w:pPr>
              <w:jc w:val="both"/>
              <w:rPr>
                <w:rFonts w:asciiTheme="minorBidi" w:hAnsiTheme="minorBidi"/>
                <w:b/>
                <w:bCs/>
                <w:i/>
                <w:iCs/>
                <w:sz w:val="18"/>
                <w:szCs w:val="18"/>
                <w:shd w:val="clear" w:color="auto" w:fill="FFFFFF"/>
              </w:rPr>
            </w:pPr>
          </w:p>
          <w:p w:rsidR="007621BC" w:rsidRPr="00AE5956" w:rsidRDefault="007621BC" w:rsidP="002566BB">
            <w:pPr>
              <w:jc w:val="both"/>
              <w:rPr>
                <w:rFonts w:asciiTheme="minorBidi" w:hAnsiTheme="minorBidi"/>
                <w:b/>
                <w:bCs/>
                <w:i/>
                <w:iCs/>
                <w:sz w:val="18"/>
                <w:szCs w:val="18"/>
                <w:shd w:val="clear" w:color="auto" w:fill="FFFFFF"/>
              </w:rPr>
            </w:pPr>
          </w:p>
        </w:tc>
      </w:tr>
    </w:tbl>
    <w:p w:rsidR="001F6E86" w:rsidRPr="00E75DD8" w:rsidRDefault="001F6E86" w:rsidP="002566BB">
      <w:pPr>
        <w:spacing w:after="0" w:line="240" w:lineRule="auto"/>
        <w:jc w:val="both"/>
        <w:rPr>
          <w:rFonts w:asciiTheme="minorBidi" w:hAnsiTheme="minorBidi"/>
          <w:sz w:val="18"/>
          <w:szCs w:val="18"/>
          <w:shd w:val="clear" w:color="auto" w:fill="FFFFFF"/>
        </w:rPr>
      </w:pPr>
    </w:p>
    <w:p w:rsidR="009D04AA" w:rsidRDefault="00805BE8" w:rsidP="002566BB">
      <w:pPr>
        <w:spacing w:after="0" w:line="240" w:lineRule="auto"/>
        <w:jc w:val="both"/>
        <w:rPr>
          <w:rFonts w:asciiTheme="majorBidi" w:hAnsiTheme="majorBidi" w:cstheme="majorBidi"/>
          <w:b/>
          <w:bCs/>
          <w:i/>
          <w:iCs/>
          <w:sz w:val="24"/>
          <w:szCs w:val="24"/>
          <w:shd w:val="clear" w:color="auto" w:fill="FFFFFF"/>
        </w:rPr>
      </w:pPr>
      <w:r w:rsidRPr="00AE18CE">
        <w:rPr>
          <w:rFonts w:asciiTheme="majorBidi" w:hAnsiTheme="majorBidi" w:cstheme="majorBidi"/>
          <w:b/>
          <w:bCs/>
          <w:i/>
          <w:iCs/>
          <w:sz w:val="24"/>
          <w:szCs w:val="24"/>
          <w:shd w:val="clear" w:color="auto" w:fill="FFFFFF"/>
        </w:rPr>
        <w:t xml:space="preserve">Tabel. </w:t>
      </w:r>
      <w:r w:rsidR="00796EE5" w:rsidRPr="00AE18CE">
        <w:rPr>
          <w:rFonts w:asciiTheme="majorBidi" w:hAnsiTheme="majorBidi" w:cstheme="majorBidi"/>
          <w:b/>
          <w:bCs/>
          <w:i/>
          <w:iCs/>
          <w:sz w:val="24"/>
          <w:szCs w:val="24"/>
          <w:shd w:val="clear" w:color="auto" w:fill="FFFFFF"/>
        </w:rPr>
        <w:t xml:space="preserve">Condițiile </w:t>
      </w:r>
      <w:r w:rsidRPr="00AE18CE">
        <w:rPr>
          <w:rFonts w:asciiTheme="majorBidi" w:hAnsiTheme="majorBidi" w:cstheme="majorBidi"/>
          <w:b/>
          <w:bCs/>
          <w:i/>
          <w:iCs/>
          <w:sz w:val="24"/>
          <w:szCs w:val="24"/>
          <w:shd w:val="clear" w:color="auto" w:fill="FFFFFF"/>
        </w:rPr>
        <w:t>necesare înregistrării unui candidat</w:t>
      </w:r>
      <w:r w:rsidR="000D39D2" w:rsidRPr="00AE18CE">
        <w:rPr>
          <w:rFonts w:asciiTheme="majorBidi" w:hAnsiTheme="majorBidi" w:cstheme="majorBidi"/>
          <w:b/>
          <w:bCs/>
          <w:i/>
          <w:iCs/>
          <w:sz w:val="24"/>
          <w:szCs w:val="24"/>
          <w:shd w:val="clear" w:color="auto" w:fill="FFFFFF"/>
        </w:rPr>
        <w:t>, partid sau independe</w:t>
      </w:r>
      <w:r w:rsidRPr="00AE18CE">
        <w:rPr>
          <w:rFonts w:asciiTheme="majorBidi" w:hAnsiTheme="majorBidi" w:cstheme="majorBidi"/>
          <w:b/>
          <w:bCs/>
          <w:i/>
          <w:iCs/>
          <w:sz w:val="24"/>
          <w:szCs w:val="24"/>
          <w:shd w:val="clear" w:color="auto" w:fill="FFFFFF"/>
        </w:rPr>
        <w:t>nt, la alegeri</w:t>
      </w:r>
      <w:r w:rsidR="000D39D2" w:rsidRPr="00AE18CE">
        <w:rPr>
          <w:rFonts w:asciiTheme="majorBidi" w:hAnsiTheme="majorBidi" w:cstheme="majorBidi"/>
          <w:b/>
          <w:bCs/>
          <w:i/>
          <w:iCs/>
          <w:sz w:val="24"/>
          <w:szCs w:val="24"/>
          <w:shd w:val="clear" w:color="auto" w:fill="FFFFFF"/>
        </w:rPr>
        <w:t>le europarlamentare, parlamentare, prezidențiale și locale în perioada postcomunistă</w:t>
      </w:r>
      <w:r w:rsidR="00796EE5" w:rsidRPr="00AE18CE">
        <w:rPr>
          <w:rFonts w:asciiTheme="majorBidi" w:hAnsiTheme="majorBidi" w:cstheme="majorBidi"/>
          <w:b/>
          <w:bCs/>
          <w:i/>
          <w:iCs/>
          <w:sz w:val="24"/>
          <w:szCs w:val="24"/>
          <w:shd w:val="clear" w:color="auto" w:fill="FFFFFF"/>
        </w:rPr>
        <w:t xml:space="preserve"> (ci</w:t>
      </w:r>
      <w:r w:rsidR="00FC5307" w:rsidRPr="00AE18CE">
        <w:rPr>
          <w:rFonts w:asciiTheme="majorBidi" w:hAnsiTheme="majorBidi" w:cstheme="majorBidi"/>
          <w:b/>
          <w:bCs/>
          <w:i/>
          <w:iCs/>
          <w:sz w:val="24"/>
          <w:szCs w:val="24"/>
          <w:shd w:val="clear" w:color="auto" w:fill="FFFFFF"/>
        </w:rPr>
        <w:t>frele</w:t>
      </w:r>
      <w:r w:rsidR="004118E4" w:rsidRPr="00AE18CE">
        <w:rPr>
          <w:rFonts w:asciiTheme="majorBidi" w:hAnsiTheme="majorBidi" w:cstheme="majorBidi"/>
          <w:b/>
          <w:bCs/>
          <w:i/>
          <w:iCs/>
          <w:sz w:val="24"/>
          <w:szCs w:val="24"/>
          <w:shd w:val="clear" w:color="auto" w:fill="FFFFFF"/>
        </w:rPr>
        <w:t xml:space="preserve"> </w:t>
      </w:r>
      <w:r w:rsidR="00FC5307" w:rsidRPr="00AE18CE">
        <w:rPr>
          <w:rFonts w:asciiTheme="majorBidi" w:hAnsiTheme="majorBidi" w:cstheme="majorBidi"/>
          <w:b/>
          <w:bCs/>
          <w:i/>
          <w:iCs/>
          <w:sz w:val="24"/>
          <w:szCs w:val="24"/>
          <w:shd w:val="clear" w:color="auto" w:fill="FFFFFF"/>
        </w:rPr>
        <w:t>și procentele se referă la semn</w:t>
      </w:r>
      <w:r w:rsidR="00D57E92">
        <w:rPr>
          <w:rFonts w:asciiTheme="majorBidi" w:hAnsiTheme="majorBidi" w:cstheme="majorBidi"/>
          <w:b/>
          <w:bCs/>
          <w:i/>
          <w:iCs/>
          <w:sz w:val="24"/>
          <w:szCs w:val="24"/>
          <w:shd w:val="clear" w:color="auto" w:fill="FFFFFF"/>
        </w:rPr>
        <w:t>ă</w:t>
      </w:r>
      <w:r w:rsidR="00FC5307" w:rsidRPr="00AE18CE">
        <w:rPr>
          <w:rFonts w:asciiTheme="majorBidi" w:hAnsiTheme="majorBidi" w:cstheme="majorBidi"/>
          <w:b/>
          <w:bCs/>
          <w:i/>
          <w:iCs/>
          <w:sz w:val="24"/>
          <w:szCs w:val="24"/>
          <w:shd w:val="clear" w:color="auto" w:fill="FFFFFF"/>
        </w:rPr>
        <w:t>turi</w:t>
      </w:r>
      <w:r w:rsidR="00796EE5" w:rsidRPr="00AE18CE">
        <w:rPr>
          <w:rFonts w:asciiTheme="majorBidi" w:hAnsiTheme="majorBidi" w:cstheme="majorBidi"/>
          <w:b/>
          <w:bCs/>
          <w:i/>
          <w:iCs/>
          <w:sz w:val="24"/>
          <w:szCs w:val="24"/>
          <w:shd w:val="clear" w:color="auto" w:fill="FFFFFF"/>
        </w:rPr>
        <w:t>)</w:t>
      </w:r>
      <w:r w:rsidR="00623EB5" w:rsidRPr="00AE18CE">
        <w:rPr>
          <w:rFonts w:asciiTheme="majorBidi" w:hAnsiTheme="majorBidi" w:cstheme="majorBidi"/>
          <w:b/>
          <w:bCs/>
          <w:i/>
          <w:iCs/>
          <w:sz w:val="24"/>
          <w:szCs w:val="24"/>
          <w:shd w:val="clear" w:color="auto" w:fill="FFFFFF"/>
        </w:rPr>
        <w:t>.</w:t>
      </w:r>
    </w:p>
    <w:p w:rsidR="00AE18CE" w:rsidRDefault="00AE18CE" w:rsidP="002566BB">
      <w:pPr>
        <w:spacing w:after="0" w:line="240" w:lineRule="auto"/>
        <w:jc w:val="both"/>
        <w:rPr>
          <w:rFonts w:asciiTheme="majorBidi" w:hAnsiTheme="majorBidi" w:cstheme="majorBidi"/>
          <w:sz w:val="24"/>
          <w:szCs w:val="24"/>
          <w:shd w:val="clear" w:color="auto" w:fill="FFFFFF"/>
        </w:rPr>
      </w:pPr>
    </w:p>
    <w:p w:rsidR="006C7C05" w:rsidRPr="008F2F13" w:rsidRDefault="006C7C05" w:rsidP="006C7C05">
      <w:pPr>
        <w:spacing w:after="0" w:line="240" w:lineRule="auto"/>
        <w:ind w:firstLine="720"/>
        <w:jc w:val="both"/>
        <w:rPr>
          <w:rFonts w:asciiTheme="majorBidi" w:hAnsiTheme="majorBidi" w:cstheme="majorBidi"/>
          <w:color w:val="000000" w:themeColor="text1"/>
          <w:sz w:val="24"/>
          <w:szCs w:val="24"/>
          <w:lang w:val="ro-RO"/>
        </w:rPr>
      </w:pPr>
      <w:r>
        <w:rPr>
          <w:rFonts w:ascii="Times New Roman" w:hAnsi="Times New Roman" w:cs="Times New Roman"/>
          <w:sz w:val="24"/>
          <w:szCs w:val="24"/>
          <w:lang w:val="ro-RO"/>
        </w:rPr>
        <w:t xml:space="preserve">Conform </w:t>
      </w:r>
      <w:r>
        <w:rPr>
          <w:rFonts w:asciiTheme="majorBidi" w:hAnsiTheme="majorBidi" w:cstheme="majorBidi"/>
          <w:i/>
          <w:iCs/>
          <w:color w:val="000000" w:themeColor="text1"/>
          <w:sz w:val="24"/>
          <w:szCs w:val="24"/>
          <w:lang w:val="ro-RO"/>
        </w:rPr>
        <w:t>Codului de bune practici privind</w:t>
      </w:r>
      <w:r w:rsidRPr="008E6067">
        <w:rPr>
          <w:rFonts w:asciiTheme="majorBidi" w:hAnsiTheme="majorBidi" w:cstheme="majorBidi"/>
          <w:i/>
          <w:iCs/>
          <w:color w:val="000000" w:themeColor="text1"/>
          <w:sz w:val="24"/>
          <w:szCs w:val="24"/>
          <w:lang w:val="ro-RO"/>
        </w:rPr>
        <w:t xml:space="preserve"> chestiuni</w:t>
      </w:r>
      <w:r>
        <w:rPr>
          <w:rFonts w:asciiTheme="majorBidi" w:hAnsiTheme="majorBidi" w:cstheme="majorBidi"/>
          <w:i/>
          <w:iCs/>
          <w:color w:val="000000" w:themeColor="text1"/>
          <w:sz w:val="24"/>
          <w:szCs w:val="24"/>
          <w:lang w:val="ro-RO"/>
        </w:rPr>
        <w:t>le</w:t>
      </w:r>
      <w:r w:rsidRPr="008E6067">
        <w:rPr>
          <w:rFonts w:asciiTheme="majorBidi" w:hAnsiTheme="majorBidi" w:cstheme="majorBidi"/>
          <w:i/>
          <w:iCs/>
          <w:color w:val="000000" w:themeColor="text1"/>
          <w:sz w:val="24"/>
          <w:szCs w:val="24"/>
          <w:lang w:val="ro-RO"/>
        </w:rPr>
        <w:t xml:space="preserve"> electorale</w:t>
      </w:r>
      <w:r>
        <w:rPr>
          <w:rFonts w:asciiTheme="majorBidi" w:hAnsiTheme="majorBidi" w:cstheme="majorBidi"/>
          <w:color w:val="000000" w:themeColor="text1"/>
          <w:sz w:val="24"/>
          <w:szCs w:val="24"/>
          <w:lang w:val="ro-RO"/>
        </w:rPr>
        <w:t xml:space="preserve"> redactat de</w:t>
      </w:r>
      <w:r w:rsidRPr="009231E0">
        <w:rPr>
          <w:rFonts w:asciiTheme="majorBidi" w:hAnsiTheme="majorBidi" w:cstheme="majorBidi"/>
          <w:color w:val="000000" w:themeColor="text1"/>
          <w:sz w:val="24"/>
          <w:szCs w:val="24"/>
          <w:lang w:val="ro-RO"/>
        </w:rPr>
        <w:t xml:space="preserve"> Comisia de la </w:t>
      </w:r>
      <w:r w:rsidRPr="009231E0">
        <w:rPr>
          <w:rFonts w:asciiTheme="majorBidi" w:hAnsiTheme="majorBidi" w:cstheme="majorBidi"/>
          <w:color w:val="000000" w:themeColor="text1"/>
          <w:sz w:val="24"/>
          <w:szCs w:val="24"/>
          <w:shd w:val="clear" w:color="auto" w:fill="FFFFFF"/>
        </w:rPr>
        <w:t>Veneția</w:t>
      </w:r>
      <w:r>
        <w:rPr>
          <w:rStyle w:val="FootnoteReference"/>
          <w:rFonts w:asciiTheme="majorBidi" w:hAnsiTheme="majorBidi" w:cstheme="majorBidi"/>
          <w:color w:val="000000" w:themeColor="text1"/>
          <w:sz w:val="24"/>
          <w:szCs w:val="24"/>
          <w:shd w:val="clear" w:color="auto" w:fill="FFFFFF"/>
        </w:rPr>
        <w:footnoteReference w:id="58"/>
      </w:r>
      <w:r w:rsidRPr="009231E0">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numărul de semnături maxim ce poate fi solicitat într-o circumscripție este de unu la sută (1%). Cum populația cu drept de vot a României este de </w:t>
      </w:r>
      <w:r w:rsidRPr="009231E0">
        <w:rPr>
          <w:rFonts w:asciiTheme="majorBidi" w:hAnsiTheme="majorBidi" w:cstheme="majorBidi"/>
          <w:color w:val="000000" w:themeColor="text1"/>
          <w:sz w:val="24"/>
          <w:szCs w:val="24"/>
          <w:shd w:val="clear" w:color="auto" w:fill="FFFFFF"/>
        </w:rPr>
        <w:t>18,403,044</w:t>
      </w:r>
      <w:r>
        <w:rPr>
          <w:rFonts w:asciiTheme="majorBidi" w:hAnsiTheme="majorBidi" w:cstheme="majorBidi"/>
          <w:color w:val="000000" w:themeColor="text1"/>
          <w:sz w:val="24"/>
          <w:szCs w:val="24"/>
          <w:shd w:val="clear" w:color="auto" w:fill="FFFFFF"/>
        </w:rPr>
        <w:t>, unu la sută reprezintă 184,030 de semnături din circumscripție, având în vedere că avem de-a face cu o singură circumscripție națională pentru alegerile europarlamentare. Astfel, România nu numai că solicită cele mai multe semnături din Uniunea Europeană, însă dep</w:t>
      </w:r>
      <w:r>
        <w:rPr>
          <w:rFonts w:asciiTheme="majorBidi" w:hAnsiTheme="majorBidi" w:cstheme="majorBidi"/>
          <w:color w:val="000000" w:themeColor="text1"/>
          <w:sz w:val="24"/>
          <w:szCs w:val="24"/>
          <w:shd w:val="clear" w:color="auto" w:fill="FFFFFF"/>
          <w:lang w:val="ro-RO"/>
        </w:rPr>
        <w:t xml:space="preserve">ășește </w:t>
      </w:r>
      <w:r w:rsidR="00874EEB">
        <w:rPr>
          <w:rFonts w:asciiTheme="majorBidi" w:hAnsiTheme="majorBidi" w:cstheme="majorBidi"/>
          <w:color w:val="000000" w:themeColor="text1"/>
          <w:sz w:val="24"/>
          <w:szCs w:val="24"/>
          <w:shd w:val="clear" w:color="auto" w:fill="FFFFFF"/>
          <w:lang w:val="ro-RO"/>
        </w:rPr>
        <w:t xml:space="preserve">și </w:t>
      </w:r>
      <w:r>
        <w:rPr>
          <w:rFonts w:asciiTheme="majorBidi" w:hAnsiTheme="majorBidi" w:cstheme="majorBidi"/>
          <w:color w:val="000000" w:themeColor="text1"/>
          <w:sz w:val="24"/>
          <w:szCs w:val="24"/>
          <w:shd w:val="clear" w:color="auto" w:fill="FFFFFF"/>
          <w:lang w:val="ro-RO"/>
        </w:rPr>
        <w:t xml:space="preserve">recomandarea Comisiei de la Veneția. </w:t>
      </w:r>
    </w:p>
    <w:p w:rsidR="00AE18CE" w:rsidRDefault="00AE18CE" w:rsidP="002566BB">
      <w:pPr>
        <w:spacing w:after="0" w:line="240" w:lineRule="auto"/>
        <w:jc w:val="both"/>
        <w:rPr>
          <w:rFonts w:asciiTheme="majorBidi" w:hAnsiTheme="majorBidi" w:cstheme="majorBidi"/>
          <w:b/>
          <w:bCs/>
          <w:i/>
          <w:iCs/>
          <w:sz w:val="24"/>
          <w:szCs w:val="24"/>
          <w:shd w:val="clear" w:color="auto" w:fill="FFFFFF"/>
        </w:rPr>
      </w:pPr>
    </w:p>
    <w:p w:rsidR="00AE18CE" w:rsidRPr="003E3267" w:rsidRDefault="00AE18CE" w:rsidP="003E3267">
      <w:pPr>
        <w:pStyle w:val="ListParagraph"/>
        <w:numPr>
          <w:ilvl w:val="0"/>
          <w:numId w:val="9"/>
        </w:numPr>
        <w:spacing w:after="0" w:line="240" w:lineRule="auto"/>
        <w:rPr>
          <w:rFonts w:ascii="Times New Roman" w:hAnsi="Times New Roman" w:cs="Times New Roman"/>
          <w:b/>
          <w:sz w:val="24"/>
          <w:szCs w:val="24"/>
          <w:lang w:val="ro-RO"/>
        </w:rPr>
      </w:pPr>
      <w:r w:rsidRPr="003E3267">
        <w:rPr>
          <w:rFonts w:ascii="Times New Roman" w:hAnsi="Times New Roman" w:cs="Times New Roman"/>
          <w:b/>
          <w:sz w:val="24"/>
          <w:szCs w:val="24"/>
          <w:lang w:val="ro-RO"/>
        </w:rPr>
        <w:t>Concluzii</w:t>
      </w:r>
    </w:p>
    <w:p w:rsidR="003E3267" w:rsidRDefault="003E3267" w:rsidP="00AE18CE">
      <w:pPr>
        <w:spacing w:after="0" w:line="240" w:lineRule="auto"/>
        <w:ind w:firstLine="720"/>
        <w:jc w:val="both"/>
        <w:rPr>
          <w:rFonts w:ascii="Times New Roman" w:hAnsi="Times New Roman" w:cs="Times New Roman"/>
          <w:sz w:val="24"/>
          <w:szCs w:val="24"/>
          <w:lang w:val="ro-RO"/>
        </w:rPr>
      </w:pPr>
    </w:p>
    <w:p w:rsidR="00AE18CE" w:rsidRPr="008760D7" w:rsidRDefault="00AE18CE" w:rsidP="00AE18CE">
      <w:pPr>
        <w:spacing w:after="0" w:line="240" w:lineRule="auto"/>
        <w:ind w:firstLine="720"/>
        <w:jc w:val="both"/>
        <w:rPr>
          <w:rFonts w:ascii="Times New Roman" w:hAnsi="Times New Roman" w:cs="Times New Roman"/>
          <w:sz w:val="24"/>
          <w:szCs w:val="24"/>
          <w:lang w:val="ro-RO"/>
        </w:rPr>
      </w:pPr>
      <w:r w:rsidRPr="008760D7">
        <w:rPr>
          <w:rFonts w:ascii="Times New Roman" w:hAnsi="Times New Roman" w:cs="Times New Roman"/>
          <w:sz w:val="24"/>
          <w:szCs w:val="24"/>
          <w:lang w:val="ro-RO"/>
        </w:rPr>
        <w:t>Ca și concluzie generală, în urma analizei comparative, România este țara cu cele mai restrictive condiții de înscriere la alegerile europene. Cele 200,000 de semnături pentru partide și coaliții și 100,000 de semnături pentru candidații independenți necesare înscrierii în cursa electorală întrec toate țările membre UE în privința restrictivității barierelor pre-electoale. Spre deosebire, de alte țări, Româ</w:t>
      </w:r>
      <w:r w:rsidR="003F52FD">
        <w:rPr>
          <w:rFonts w:ascii="Times New Roman" w:hAnsi="Times New Roman" w:cs="Times New Roman"/>
          <w:sz w:val="24"/>
          <w:szCs w:val="24"/>
          <w:lang w:val="ro-RO"/>
        </w:rPr>
        <w:t>nia dă totuși posibilitatea can</w:t>
      </w:r>
      <w:r w:rsidRPr="008760D7">
        <w:rPr>
          <w:rFonts w:ascii="Times New Roman" w:hAnsi="Times New Roman" w:cs="Times New Roman"/>
          <w:sz w:val="24"/>
          <w:szCs w:val="24"/>
          <w:lang w:val="ro-RO"/>
        </w:rPr>
        <w:t>daților independenți să participe la alegeri. Multe țări, așa cum am vazut, nu permit nici candidaților independenți ca atare și nici votanților să își propună proprii candidați prin intermediul asociațiilor de alegători</w:t>
      </w:r>
      <w:r w:rsidR="003F52FD">
        <w:rPr>
          <w:rFonts w:ascii="Times New Roman" w:hAnsi="Times New Roman" w:cs="Times New Roman"/>
          <w:sz w:val="24"/>
          <w:szCs w:val="24"/>
          <w:lang w:val="ro-RO"/>
        </w:rPr>
        <w:t>, iar acets lucru face ca România să permită totuși un fapt recomandat de experții OSCE în rapoartele privind alegerile, acela al candidaților independenți</w:t>
      </w:r>
      <w:r w:rsidRPr="008760D7">
        <w:rPr>
          <w:rFonts w:ascii="Times New Roman" w:hAnsi="Times New Roman" w:cs="Times New Roman"/>
          <w:sz w:val="24"/>
          <w:szCs w:val="24"/>
          <w:lang w:val="ro-RO"/>
        </w:rPr>
        <w:t xml:space="preserve">. </w:t>
      </w:r>
      <w:r w:rsidRPr="004958D8">
        <w:rPr>
          <w:rFonts w:ascii="Times New Roman" w:hAnsi="Times New Roman" w:cs="Times New Roman"/>
          <w:sz w:val="24"/>
          <w:szCs w:val="24"/>
          <w:lang w:val="ro-RO"/>
        </w:rPr>
        <w:t xml:space="preserve">Din această perspectivă, a semnăturilor 25.000 şi respectiv 200.000, sistemul electoral românesc s-a comportat vreme de mai multe </w:t>
      </w:r>
      <w:r w:rsidRPr="004958D8">
        <w:rPr>
          <w:rFonts w:ascii="Times New Roman" w:hAnsi="Times New Roman" w:cs="Times New Roman"/>
          <w:sz w:val="24"/>
          <w:szCs w:val="24"/>
          <w:lang w:val="ro-RO"/>
        </w:rPr>
        <w:lastRenderedPageBreak/>
        <w:t>legislaturi, cu acest efect mecanic şi cu efect psihologic, descurajând partidele la a</w:t>
      </w:r>
      <w:r>
        <w:rPr>
          <w:rFonts w:ascii="Times New Roman" w:hAnsi="Times New Roman" w:cs="Times New Roman"/>
          <w:sz w:val="24"/>
          <w:szCs w:val="24"/>
          <w:lang w:val="ro-RO"/>
        </w:rPr>
        <w:t xml:space="preserve"> intra în competiţia electorală și o face în continuare.</w:t>
      </w:r>
    </w:p>
    <w:p w:rsidR="00AE18CE" w:rsidRDefault="00AE18CE" w:rsidP="00AE18C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România, se poate concluziona, legiuitorii, dar și judecătorii CCR s-au arătat a</w:t>
      </w:r>
      <w:r w:rsidRPr="00F764C9">
        <w:rPr>
          <w:rFonts w:ascii="Times New Roman" w:hAnsi="Times New Roman" w:cs="Times New Roman"/>
          <w:sz w:val="24"/>
          <w:szCs w:val="24"/>
          <w:lang w:val="ro-RO"/>
        </w:rPr>
        <w:t>depţii unor măsuri drastice privind accesul pe liste</w:t>
      </w:r>
      <w:r>
        <w:rPr>
          <w:rFonts w:ascii="Times New Roman" w:hAnsi="Times New Roman" w:cs="Times New Roman"/>
          <w:sz w:val="24"/>
          <w:szCs w:val="24"/>
          <w:lang w:val="ro-RO"/>
        </w:rPr>
        <w:t>, având astfel de-a face cu o viziune radicală</w:t>
      </w:r>
      <w:r w:rsidRPr="00F764C9">
        <w:rPr>
          <w:rFonts w:ascii="Times New Roman" w:hAnsi="Times New Roman" w:cs="Times New Roman"/>
          <w:sz w:val="24"/>
          <w:szCs w:val="24"/>
          <w:lang w:val="ro-RO"/>
        </w:rPr>
        <w:t xml:space="preserve"> asupra competiţiei politice prin care competiţia este făcută doar pentru a fi câştigată</w:t>
      </w:r>
      <w:r>
        <w:rPr>
          <w:rFonts w:ascii="Times New Roman" w:hAnsi="Times New Roman" w:cs="Times New Roman"/>
          <w:sz w:val="24"/>
          <w:szCs w:val="24"/>
          <w:lang w:val="ro-RO"/>
        </w:rPr>
        <w:t>. Această abordare face ca însăși ideea de competiție să își pierdă</w:t>
      </w:r>
      <w:r w:rsidRPr="00F764C9">
        <w:rPr>
          <w:rFonts w:ascii="Times New Roman" w:hAnsi="Times New Roman" w:cs="Times New Roman"/>
          <w:sz w:val="24"/>
          <w:szCs w:val="24"/>
          <w:lang w:val="ro-RO"/>
        </w:rPr>
        <w:t xml:space="preserve"> sensul </w:t>
      </w:r>
      <w:r>
        <w:rPr>
          <w:rFonts w:ascii="Times New Roman" w:hAnsi="Times New Roman" w:cs="Times New Roman"/>
          <w:sz w:val="24"/>
          <w:szCs w:val="24"/>
          <w:lang w:val="ro-RO"/>
        </w:rPr>
        <w:t>adevărat deoarece competiția are loc doar între câștigători, între cei care, oricum, conform numărului de semnături culese este de așteptat să se enumere printre câștigători. A</w:t>
      </w:r>
      <w:r w:rsidRPr="00F764C9">
        <w:rPr>
          <w:rFonts w:ascii="Times New Roman" w:hAnsi="Times New Roman" w:cs="Times New Roman"/>
          <w:sz w:val="24"/>
          <w:szCs w:val="24"/>
          <w:lang w:val="ro-RO"/>
        </w:rPr>
        <w:t>stfel</w:t>
      </w:r>
      <w:r>
        <w:rPr>
          <w:rFonts w:ascii="Times New Roman" w:hAnsi="Times New Roman" w:cs="Times New Roman"/>
          <w:sz w:val="24"/>
          <w:szCs w:val="24"/>
          <w:lang w:val="ro-RO"/>
        </w:rPr>
        <w:t>,</w:t>
      </w:r>
      <w:r w:rsidRPr="00F764C9">
        <w:rPr>
          <w:rFonts w:ascii="Times New Roman" w:hAnsi="Times New Roman" w:cs="Times New Roman"/>
          <w:sz w:val="24"/>
          <w:szCs w:val="24"/>
          <w:lang w:val="ro-RO"/>
        </w:rPr>
        <w:t xml:space="preserve"> competiţia electorală nu are alt sens pentru partide dec</w:t>
      </w:r>
      <w:r>
        <w:rPr>
          <w:rFonts w:ascii="Times New Roman" w:hAnsi="Times New Roman" w:cs="Times New Roman"/>
          <w:sz w:val="24"/>
          <w:szCs w:val="24"/>
          <w:lang w:val="ro-RO"/>
        </w:rPr>
        <w:t>ât pentru a fi câştigată. Această viziune care poate afecta însăși buna guvernare a unui polis dat fiind faptul că limitează c</w:t>
      </w:r>
      <w:r w:rsidRPr="00F764C9">
        <w:rPr>
          <w:rFonts w:ascii="Times New Roman" w:hAnsi="Times New Roman" w:cs="Times New Roman"/>
          <w:sz w:val="24"/>
          <w:szCs w:val="24"/>
          <w:lang w:val="ro-RO"/>
        </w:rPr>
        <w:t>ompetiţia electorală</w:t>
      </w:r>
      <w:r>
        <w:rPr>
          <w:rFonts w:ascii="Times New Roman" w:hAnsi="Times New Roman" w:cs="Times New Roman"/>
          <w:sz w:val="24"/>
          <w:szCs w:val="24"/>
          <w:lang w:val="ro-RO"/>
        </w:rPr>
        <w:t xml:space="preserve"> , neconsiderând-o un bu</w:t>
      </w:r>
      <w:r w:rsidRPr="00F764C9">
        <w:rPr>
          <w:rFonts w:ascii="Times New Roman" w:hAnsi="Times New Roman" w:cs="Times New Roman"/>
          <w:sz w:val="24"/>
          <w:szCs w:val="24"/>
          <w:lang w:val="ro-RO"/>
        </w:rPr>
        <w:t>n politic în sine</w:t>
      </w:r>
      <w:r>
        <w:rPr>
          <w:rFonts w:ascii="Times New Roman" w:hAnsi="Times New Roman" w:cs="Times New Roman"/>
          <w:sz w:val="24"/>
          <w:szCs w:val="24"/>
          <w:lang w:val="ro-RO"/>
        </w:rPr>
        <w:t>, iar întreaga teorie a democrației este bazată competiție în sine</w:t>
      </w:r>
      <w:r w:rsidRPr="00F764C9">
        <w:rPr>
          <w:rFonts w:ascii="Times New Roman" w:hAnsi="Times New Roman" w:cs="Times New Roman"/>
          <w:sz w:val="24"/>
          <w:szCs w:val="24"/>
          <w:lang w:val="ro-RO"/>
        </w:rPr>
        <w:t xml:space="preserve">. </w:t>
      </w:r>
      <w:r>
        <w:rPr>
          <w:rFonts w:ascii="Times New Roman" w:hAnsi="Times New Roman" w:cs="Times New Roman"/>
          <w:sz w:val="24"/>
          <w:szCs w:val="24"/>
          <w:lang w:val="ro-RO"/>
        </w:rPr>
        <w:t>Este adevărat</w:t>
      </w:r>
      <w:r w:rsidRPr="00F764C9">
        <w:rPr>
          <w:rFonts w:ascii="Times New Roman" w:hAnsi="Times New Roman" w:cs="Times New Roman"/>
          <w:sz w:val="24"/>
          <w:szCs w:val="24"/>
          <w:lang w:val="ro-RO"/>
        </w:rPr>
        <w:t xml:space="preserve"> că definiţia partidului politic</w:t>
      </w:r>
      <w:r>
        <w:rPr>
          <w:rFonts w:ascii="Times New Roman" w:hAnsi="Times New Roman" w:cs="Times New Roman"/>
          <w:sz w:val="24"/>
          <w:szCs w:val="24"/>
          <w:lang w:val="ro-RO"/>
        </w:rPr>
        <w:t xml:space="preserve"> ca atare</w:t>
      </w:r>
      <w:r w:rsidRPr="00F764C9">
        <w:rPr>
          <w:rFonts w:ascii="Times New Roman" w:hAnsi="Times New Roman" w:cs="Times New Roman"/>
          <w:sz w:val="24"/>
          <w:szCs w:val="24"/>
          <w:lang w:val="ro-RO"/>
        </w:rPr>
        <w:t xml:space="preserve"> este de a câştiga puterea, însă există</w:t>
      </w:r>
      <w:r>
        <w:rPr>
          <w:rFonts w:ascii="Times New Roman" w:hAnsi="Times New Roman" w:cs="Times New Roman"/>
          <w:sz w:val="24"/>
          <w:szCs w:val="24"/>
          <w:lang w:val="ro-RO"/>
        </w:rPr>
        <w:t>, bunăoară,</w:t>
      </w:r>
      <w:r w:rsidRPr="00F764C9">
        <w:rPr>
          <w:rFonts w:ascii="Times New Roman" w:hAnsi="Times New Roman" w:cs="Times New Roman"/>
          <w:sz w:val="24"/>
          <w:szCs w:val="24"/>
          <w:lang w:val="ro-RO"/>
        </w:rPr>
        <w:t xml:space="preserve"> partide temporare, </w:t>
      </w:r>
      <w:r w:rsidRPr="00915869">
        <w:rPr>
          <w:rFonts w:ascii="Times New Roman" w:hAnsi="Times New Roman" w:cs="Times New Roman"/>
          <w:i/>
          <w:iCs/>
          <w:sz w:val="24"/>
          <w:szCs w:val="24"/>
          <w:lang w:val="ro-RO"/>
        </w:rPr>
        <w:t>issue parties</w:t>
      </w:r>
      <w:r w:rsidRPr="00F764C9">
        <w:rPr>
          <w:rFonts w:ascii="Times New Roman" w:hAnsi="Times New Roman" w:cs="Times New Roman"/>
          <w:sz w:val="24"/>
          <w:szCs w:val="24"/>
          <w:lang w:val="ro-RO"/>
        </w:rPr>
        <w:t xml:space="preserve">, care se nasc doar pentru a </w:t>
      </w:r>
      <w:r>
        <w:rPr>
          <w:rFonts w:ascii="Times New Roman" w:hAnsi="Times New Roman" w:cs="Times New Roman"/>
          <w:sz w:val="24"/>
          <w:szCs w:val="24"/>
          <w:lang w:val="ro-RO"/>
        </w:rPr>
        <w:t>ridica</w:t>
      </w:r>
      <w:r w:rsidRPr="00F764C9">
        <w:rPr>
          <w:rFonts w:ascii="Times New Roman" w:hAnsi="Times New Roman" w:cs="Times New Roman"/>
          <w:sz w:val="24"/>
          <w:szCs w:val="24"/>
          <w:lang w:val="ro-RO"/>
        </w:rPr>
        <w:t xml:space="preserve"> o problemă politică temporară, cum sunt renumitele partide „cu o singură problemă” (single-issue parties). Aceste partide pot juca un rol important în a face conştientă atât clasa politică de nişte probleme, cât şi votanţii, iar competiţia politică devine un bun în sine, un prilej de dezbatere din care toate părţile au ceva de câştigat prin cunoaştere şi înţelegea în profunzime a societăţii.</w:t>
      </w:r>
    </w:p>
    <w:p w:rsidR="00AE18CE" w:rsidRPr="00F764C9" w:rsidRDefault="00AE18CE" w:rsidP="00AE18CE">
      <w:pPr>
        <w:spacing w:after="0" w:line="240" w:lineRule="auto"/>
        <w:ind w:firstLine="720"/>
        <w:jc w:val="both"/>
        <w:rPr>
          <w:rFonts w:ascii="Times New Roman" w:hAnsi="Times New Roman" w:cs="Times New Roman"/>
          <w:sz w:val="24"/>
          <w:szCs w:val="24"/>
          <w:lang w:val="ro-RO"/>
        </w:rPr>
      </w:pPr>
      <w:r w:rsidRPr="002B13D2">
        <w:rPr>
          <w:rFonts w:ascii="Times New Roman" w:hAnsi="Times New Roman" w:cs="Times New Roman"/>
          <w:sz w:val="24"/>
          <w:szCs w:val="24"/>
          <w:lang w:val="ro-RO"/>
        </w:rPr>
        <w:t>În esență, autorii care studiază aceste trăsături ale instituțiilor electorale</w:t>
      </w:r>
      <w:r>
        <w:rPr>
          <w:rFonts w:ascii="Times New Roman" w:hAnsi="Times New Roman" w:cs="Times New Roman"/>
          <w:sz w:val="24"/>
          <w:szCs w:val="24"/>
          <w:lang w:val="ro-RO"/>
        </w:rPr>
        <w:t>, condițiile de înregistrare la alegeri,</w:t>
      </w:r>
      <w:r w:rsidRPr="002B13D2">
        <w:rPr>
          <w:rFonts w:ascii="Times New Roman" w:hAnsi="Times New Roman" w:cs="Times New Roman"/>
          <w:sz w:val="24"/>
          <w:szCs w:val="24"/>
          <w:lang w:val="ro-RO"/>
        </w:rPr>
        <w:t xml:space="preserve"> cad de acord asupra unei viziuni normative în sensul dezavantajelor care apar în urma unor restricții dure</w:t>
      </w:r>
      <w:r>
        <w:rPr>
          <w:rFonts w:ascii="Times New Roman" w:hAnsi="Times New Roman" w:cs="Times New Roman"/>
          <w:sz w:val="24"/>
          <w:szCs w:val="24"/>
          <w:lang w:val="ro-RO"/>
        </w:rPr>
        <w:t xml:space="preserve"> privind candidaturile</w:t>
      </w:r>
      <w:r w:rsidRPr="002B13D2">
        <w:rPr>
          <w:rFonts w:ascii="Times New Roman" w:hAnsi="Times New Roman" w:cs="Times New Roman"/>
          <w:sz w:val="24"/>
          <w:szCs w:val="24"/>
          <w:lang w:val="ro-RO"/>
        </w:rPr>
        <w:t xml:space="preserve">, decât a beneficiilor. </w:t>
      </w:r>
      <w:r>
        <w:rPr>
          <w:rFonts w:ascii="Times New Roman" w:hAnsi="Times New Roman" w:cs="Times New Roman"/>
          <w:sz w:val="24"/>
          <w:szCs w:val="24"/>
          <w:lang w:val="ro-RO"/>
        </w:rPr>
        <w:t xml:space="preserve">Primul argument este acela al afectării dreptului de a fi ales, cu atât mai mult cu cât unii cetățeni sunt aproape privați de acest drept dat fiind abordarea elitistă din punct de vedere financiar sau a semnăturilor, care de multe ori, tot la costuri se rezumă. Este cazul României. </w:t>
      </w:r>
    </w:p>
    <w:p w:rsidR="00AE18CE" w:rsidRDefault="00AE18CE" w:rsidP="00AE18C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Deși studiul nu s-a aplecat asupra studierii acestui fenomen ca atare, o observație se poate face, aceea ca în multe din țările europene condițiile continuă să fie restrictive (Danemarca, România, Slovenia, Portugalia, Spania și altele) sau să se acorde dreptul automat de înscriere a partidelor deja reprezentate în parlamentele naționale sau în PE (Austria, Belgia, Germania și altele), fapt care vine în sprijinul teoriei cartelizării sistemelor de partide; astfel, partidele aflate la putere se folosesc de resursele statului, inclusiv legislative, pentru a-și păstra pozițiile favorabile din cadrul sistemelor politice.</w:t>
      </w:r>
    </w:p>
    <w:p w:rsidR="00AE18CE" w:rsidRDefault="00AE18CE" w:rsidP="00AE18C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România, dreptul de a fi ales ca membru al PE, deși garantat de Constituție, este afectat de lege, prin stabilirea unor condiții de înscriere la alegerile europarlamentare (de exercitare a dreptului de a fi ales) aproape identice cu cele de a câștiga cursa electorală. Astfel, românilor li se garantează dreptul de a fi ales numai dacă dovedesc înainte de alegeri că pot câștiga, altfel nu pot intra în alegeri și deci numai câștigătorilor electorali, câtorva, li se permite exercitarea în sine a acestui drept de a fi ales. Vedem astfel că exercitarea dreptului de a fi ales este condiționată de succesul electoral. Ca român, poți participa ca și candidat la alegerile europarlamentare numai dacă poți dovedi că vei câștiga alegerile, altfel nu. Prin aceste condiții atât de restrictive, așa cum am mai arătat, legea anulează sensul campaniei electorale și a competiției electorale în sine. Partidele și candidații independenți sunt nevoiți să câștige votul cetățenilor mai înainte de a li se permite cadrul legal, prin desfășurarea campaniei electorale.</w:t>
      </w:r>
      <w:r w:rsidRPr="00AE18CE">
        <w:rPr>
          <w:rFonts w:ascii="Times New Roman" w:hAnsi="Times New Roman" w:cs="Times New Roman"/>
          <w:sz w:val="24"/>
          <w:szCs w:val="24"/>
          <w:lang w:val="ro-RO"/>
        </w:rPr>
        <w:t xml:space="preserve"> </w:t>
      </w:r>
    </w:p>
    <w:p w:rsidR="00AE18CE" w:rsidRPr="00442793" w:rsidRDefault="00AE18CE" w:rsidP="00AE18CE">
      <w:pPr>
        <w:spacing w:after="0" w:line="240" w:lineRule="auto"/>
        <w:ind w:firstLine="720"/>
        <w:jc w:val="both"/>
        <w:rPr>
          <w:rFonts w:ascii="Times New Roman" w:hAnsi="Times New Roman" w:cs="Times New Roman"/>
          <w:sz w:val="24"/>
          <w:szCs w:val="24"/>
          <w:lang w:val="ro-RO"/>
        </w:rPr>
      </w:pPr>
      <w:r w:rsidRPr="00442793">
        <w:rPr>
          <w:rFonts w:ascii="Times New Roman" w:hAnsi="Times New Roman" w:cs="Times New Roman"/>
          <w:sz w:val="24"/>
          <w:szCs w:val="24"/>
          <w:lang w:val="ro-RO"/>
        </w:rPr>
        <w:t xml:space="preserve">Având în vedere că avem de-a face cu reprezentare </w:t>
      </w:r>
      <w:r>
        <w:rPr>
          <w:rFonts w:ascii="Times New Roman" w:hAnsi="Times New Roman" w:cs="Times New Roman"/>
          <w:sz w:val="24"/>
          <w:szCs w:val="24"/>
          <w:lang w:val="ro-RO"/>
        </w:rPr>
        <w:t xml:space="preserve">în Parlamenul European </w:t>
      </w:r>
      <w:r w:rsidRPr="00442793">
        <w:rPr>
          <w:rFonts w:ascii="Times New Roman" w:hAnsi="Times New Roman" w:cs="Times New Roman"/>
          <w:sz w:val="24"/>
          <w:szCs w:val="24"/>
          <w:lang w:val="ro-RO"/>
        </w:rPr>
        <w:t>și nu</w:t>
      </w:r>
      <w:r>
        <w:rPr>
          <w:rFonts w:ascii="Times New Roman" w:hAnsi="Times New Roman" w:cs="Times New Roman"/>
          <w:sz w:val="24"/>
          <w:szCs w:val="24"/>
          <w:lang w:val="ro-RO"/>
        </w:rPr>
        <w:t xml:space="preserve"> la nivel național, </w:t>
      </w:r>
      <w:r w:rsidRPr="00442793">
        <w:rPr>
          <w:rFonts w:ascii="Times New Roman" w:hAnsi="Times New Roman" w:cs="Times New Roman"/>
          <w:sz w:val="24"/>
          <w:szCs w:val="24"/>
          <w:lang w:val="ro-RO"/>
        </w:rPr>
        <w:t>este de preferat ca accesul la a fi înscri</w:t>
      </w:r>
      <w:r>
        <w:rPr>
          <w:rFonts w:ascii="Times New Roman" w:hAnsi="Times New Roman" w:cs="Times New Roman"/>
          <w:sz w:val="24"/>
          <w:szCs w:val="24"/>
          <w:lang w:val="ro-RO"/>
        </w:rPr>
        <w:t xml:space="preserve">și pe buletinul de vot pentru candidați ar fi de dorit să se asemene cu cele din alte țări europene. </w:t>
      </w:r>
    </w:p>
    <w:p w:rsidR="00AE18CE" w:rsidRDefault="00AE18CE" w:rsidP="00AE18C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Această situație legislativă nu are justificare din punct de vedere democratic, deoarece, practic, legea impune dovedirea unui sprijin egal cu cel de la vot pentru înscrierea la alegeri. Dreptul de a candida, garantat de Constituție fiind grav afectat, având în vedere că nu mai avem </w:t>
      </w:r>
      <w:r>
        <w:rPr>
          <w:rFonts w:ascii="Times New Roman" w:hAnsi="Times New Roman" w:cs="Times New Roman"/>
          <w:sz w:val="24"/>
          <w:szCs w:val="24"/>
          <w:lang w:val="ro-RO"/>
        </w:rPr>
        <w:lastRenderedPageBreak/>
        <w:t>de-a face cu un drept ca atare garantat de Constituție,</w:t>
      </w:r>
      <w:r>
        <w:rPr>
          <w:rStyle w:val="FootnoteReference"/>
          <w:rFonts w:ascii="Times New Roman" w:hAnsi="Times New Roman" w:cs="Times New Roman"/>
          <w:sz w:val="24"/>
          <w:szCs w:val="24"/>
          <w:lang w:val="ro-RO"/>
        </w:rPr>
        <w:footnoteReference w:id="59"/>
      </w:r>
      <w:r>
        <w:rPr>
          <w:rFonts w:ascii="Times New Roman" w:hAnsi="Times New Roman" w:cs="Times New Roman"/>
          <w:sz w:val="24"/>
          <w:szCs w:val="24"/>
          <w:lang w:val="ro-RO"/>
        </w:rPr>
        <w:t xml:space="preserve"> ci cu un drept câștigat prin efort personal pentru fiecare alegere în parte. În cazul României, putem vorbi de o reală îngrădire a dreptului de a fi ales pentru a fi membru al PE, situație asupra căreia literatura de specialitate atrage atenția, atâta vreme cât unui candidat i se impune să își dovedească un spijin politic egal cu cel al câștigării alegerilor înainte de alegeri. </w:t>
      </w:r>
    </w:p>
    <w:p w:rsidR="000B4D3C" w:rsidRPr="00727FCA" w:rsidRDefault="00487CF4" w:rsidP="000B4D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În continuare, voi </w:t>
      </w:r>
      <w:r w:rsidR="00A7081E">
        <w:rPr>
          <w:rFonts w:ascii="Times New Roman" w:hAnsi="Times New Roman" w:cs="Times New Roman"/>
          <w:sz w:val="24"/>
          <w:szCs w:val="24"/>
          <w:lang w:val="ro-RO"/>
        </w:rPr>
        <w:t xml:space="preserve">încerca </w:t>
      </w:r>
      <w:r w:rsidR="00D913BF">
        <w:rPr>
          <w:rFonts w:ascii="Times New Roman" w:hAnsi="Times New Roman" w:cs="Times New Roman"/>
          <w:sz w:val="24"/>
          <w:szCs w:val="24"/>
          <w:lang w:val="ro-RO"/>
        </w:rPr>
        <w:t xml:space="preserve">să </w:t>
      </w:r>
      <w:r w:rsidR="00A7081E">
        <w:rPr>
          <w:rFonts w:ascii="Times New Roman" w:hAnsi="Times New Roman" w:cs="Times New Roman"/>
          <w:sz w:val="24"/>
          <w:szCs w:val="24"/>
          <w:lang w:val="ro-RO"/>
        </w:rPr>
        <w:t>identific cele mai potrivite condiții de înregistrare ce pot fi solicitate candidaților în</w:t>
      </w:r>
      <w:r>
        <w:rPr>
          <w:rFonts w:ascii="Times New Roman" w:hAnsi="Times New Roman" w:cs="Times New Roman"/>
          <w:sz w:val="24"/>
          <w:szCs w:val="24"/>
          <w:lang w:val="ro-RO"/>
        </w:rPr>
        <w:t xml:space="preserve"> România. Mai întâi de toate, câteva aspecte</w:t>
      </w:r>
      <w:r w:rsidR="00427283">
        <w:rPr>
          <w:rFonts w:ascii="Times New Roman" w:hAnsi="Times New Roman" w:cs="Times New Roman"/>
          <w:sz w:val="24"/>
          <w:szCs w:val="24"/>
          <w:lang w:val="ro-RO"/>
        </w:rPr>
        <w:t xml:space="preserve"> esenț</w:t>
      </w:r>
      <w:r w:rsidR="00A7081E">
        <w:rPr>
          <w:rFonts w:ascii="Times New Roman" w:hAnsi="Times New Roman" w:cs="Times New Roman"/>
          <w:sz w:val="24"/>
          <w:szCs w:val="24"/>
          <w:lang w:val="ro-RO"/>
        </w:rPr>
        <w:t>i</w:t>
      </w:r>
      <w:r w:rsidR="00427283">
        <w:rPr>
          <w:rFonts w:ascii="Times New Roman" w:hAnsi="Times New Roman" w:cs="Times New Roman"/>
          <w:sz w:val="24"/>
          <w:szCs w:val="24"/>
          <w:lang w:val="ro-RO"/>
        </w:rPr>
        <w:t>ale referitoare la</w:t>
      </w:r>
      <w:r>
        <w:rPr>
          <w:rFonts w:ascii="Times New Roman" w:hAnsi="Times New Roman" w:cs="Times New Roman"/>
          <w:sz w:val="24"/>
          <w:szCs w:val="24"/>
          <w:lang w:val="ro-RO"/>
        </w:rPr>
        <w:t xml:space="preserve"> polisul românesc </w:t>
      </w:r>
      <w:r w:rsidR="00427283">
        <w:rPr>
          <w:rFonts w:ascii="Times New Roman" w:hAnsi="Times New Roman" w:cs="Times New Roman"/>
          <w:sz w:val="24"/>
          <w:szCs w:val="24"/>
          <w:lang w:val="ro-RO"/>
        </w:rPr>
        <w:t>sunt necesare de punctat. Așa cum arat</w:t>
      </w:r>
      <w:r w:rsidR="00A7081E">
        <w:rPr>
          <w:rFonts w:ascii="Times New Roman" w:hAnsi="Times New Roman" w:cs="Times New Roman"/>
          <w:sz w:val="24"/>
          <w:szCs w:val="24"/>
          <w:lang w:val="ro-RO"/>
        </w:rPr>
        <w:t>ă</w:t>
      </w:r>
      <w:r w:rsidR="00427283">
        <w:rPr>
          <w:rFonts w:ascii="Times New Roman" w:hAnsi="Times New Roman" w:cs="Times New Roman"/>
          <w:sz w:val="24"/>
          <w:szCs w:val="24"/>
          <w:lang w:val="ro-RO"/>
        </w:rPr>
        <w:t xml:space="preserve"> și tabelul cu num</w:t>
      </w:r>
      <w:r w:rsidR="00A7081E">
        <w:rPr>
          <w:rFonts w:ascii="Times New Roman" w:hAnsi="Times New Roman" w:cs="Times New Roman"/>
          <w:sz w:val="24"/>
          <w:szCs w:val="24"/>
          <w:lang w:val="ro-RO"/>
        </w:rPr>
        <w:t>ă</w:t>
      </w:r>
      <w:r w:rsidR="00427283">
        <w:rPr>
          <w:rFonts w:ascii="Times New Roman" w:hAnsi="Times New Roman" w:cs="Times New Roman"/>
          <w:sz w:val="24"/>
          <w:szCs w:val="24"/>
          <w:lang w:val="ro-RO"/>
        </w:rPr>
        <w:t>rul de s</w:t>
      </w:r>
      <w:r w:rsidR="00A7081E">
        <w:rPr>
          <w:rFonts w:ascii="Times New Roman" w:hAnsi="Times New Roman" w:cs="Times New Roman"/>
          <w:sz w:val="24"/>
          <w:szCs w:val="24"/>
          <w:lang w:val="ro-RO"/>
        </w:rPr>
        <w:t>em</w:t>
      </w:r>
      <w:r w:rsidR="00427283">
        <w:rPr>
          <w:rFonts w:ascii="Times New Roman" w:hAnsi="Times New Roman" w:cs="Times New Roman"/>
          <w:sz w:val="24"/>
          <w:szCs w:val="24"/>
          <w:lang w:val="ro-RO"/>
        </w:rPr>
        <w:t>n</w:t>
      </w:r>
      <w:r w:rsidR="00A7081E">
        <w:rPr>
          <w:rFonts w:ascii="Times New Roman" w:hAnsi="Times New Roman" w:cs="Times New Roman"/>
          <w:sz w:val="24"/>
          <w:szCs w:val="24"/>
          <w:lang w:val="ro-RO"/>
        </w:rPr>
        <w:t>ă</w:t>
      </w:r>
      <w:r w:rsidR="00427283">
        <w:rPr>
          <w:rFonts w:ascii="Times New Roman" w:hAnsi="Times New Roman" w:cs="Times New Roman"/>
          <w:sz w:val="24"/>
          <w:szCs w:val="24"/>
          <w:lang w:val="ro-RO"/>
        </w:rPr>
        <w:t xml:space="preserve">turi necesare de-a lungul timpului în România pentru a deveni candidat, </w:t>
      </w:r>
      <w:r w:rsidR="00D913BF">
        <w:rPr>
          <w:rFonts w:ascii="Times New Roman" w:hAnsi="Times New Roman" w:cs="Times New Roman"/>
          <w:sz w:val="24"/>
          <w:szCs w:val="24"/>
          <w:lang w:val="ro-RO"/>
        </w:rPr>
        <w:t xml:space="preserve">tendința a fost una de </w:t>
      </w:r>
      <w:r w:rsidR="00391148">
        <w:rPr>
          <w:rFonts w:ascii="Times New Roman" w:hAnsi="Times New Roman" w:cs="Times New Roman"/>
          <w:sz w:val="24"/>
          <w:szCs w:val="24"/>
          <w:lang w:val="ro-RO"/>
        </w:rPr>
        <w:t>în</w:t>
      </w:r>
      <w:r w:rsidR="009228EE">
        <w:rPr>
          <w:rFonts w:ascii="Times New Roman" w:hAnsi="Times New Roman" w:cs="Times New Roman"/>
          <w:sz w:val="24"/>
          <w:szCs w:val="24"/>
          <w:lang w:val="ro-RO"/>
        </w:rPr>
        <w:t>ăsprire a cond</w:t>
      </w:r>
      <w:r w:rsidR="00D913BF">
        <w:rPr>
          <w:rFonts w:ascii="Times New Roman" w:hAnsi="Times New Roman" w:cs="Times New Roman"/>
          <w:sz w:val="24"/>
          <w:szCs w:val="24"/>
          <w:lang w:val="ro-RO"/>
        </w:rPr>
        <w:t>i</w:t>
      </w:r>
      <w:r w:rsidR="009228EE">
        <w:rPr>
          <w:rFonts w:ascii="Times New Roman" w:hAnsi="Times New Roman" w:cs="Times New Roman"/>
          <w:sz w:val="24"/>
          <w:szCs w:val="24"/>
          <w:lang w:val="ro-RO"/>
        </w:rPr>
        <w:t>țiilor d</w:t>
      </w:r>
      <w:r w:rsidR="00391148">
        <w:rPr>
          <w:rFonts w:ascii="Times New Roman" w:hAnsi="Times New Roman" w:cs="Times New Roman"/>
          <w:sz w:val="24"/>
          <w:szCs w:val="24"/>
          <w:lang w:val="ro-RO"/>
        </w:rPr>
        <w:t>e înregistrare,</w:t>
      </w:r>
      <w:r w:rsidR="00F35FC9">
        <w:rPr>
          <w:rFonts w:ascii="Times New Roman" w:hAnsi="Times New Roman" w:cs="Times New Roman"/>
          <w:sz w:val="24"/>
          <w:szCs w:val="24"/>
          <w:lang w:val="ro-RO"/>
        </w:rPr>
        <w:t xml:space="preserve"> astfel c</w:t>
      </w:r>
      <w:r w:rsidR="009228EE">
        <w:rPr>
          <w:rFonts w:ascii="Times New Roman" w:hAnsi="Times New Roman" w:cs="Times New Roman"/>
          <w:sz w:val="24"/>
          <w:szCs w:val="24"/>
          <w:lang w:val="ro-RO"/>
        </w:rPr>
        <w:t>ă</w:t>
      </w:r>
      <w:r w:rsidR="00D913BF">
        <w:rPr>
          <w:rFonts w:ascii="Times New Roman" w:hAnsi="Times New Roman" w:cs="Times New Roman"/>
          <w:sz w:val="24"/>
          <w:szCs w:val="24"/>
          <w:lang w:val="ro-RO"/>
        </w:rPr>
        <w:t xml:space="preserve"> la</w:t>
      </w:r>
      <w:r w:rsidR="00F35FC9">
        <w:rPr>
          <w:rFonts w:ascii="Times New Roman" w:hAnsi="Times New Roman" w:cs="Times New Roman"/>
          <w:sz w:val="24"/>
          <w:szCs w:val="24"/>
          <w:lang w:val="ro-RO"/>
        </w:rPr>
        <w:t xml:space="preserve"> </w:t>
      </w:r>
      <w:r w:rsidR="00D913BF">
        <w:rPr>
          <w:rFonts w:ascii="Times New Roman" w:hAnsi="Times New Roman" w:cs="Times New Roman"/>
          <w:sz w:val="24"/>
          <w:szCs w:val="24"/>
          <w:lang w:val="ro-RO"/>
        </w:rPr>
        <w:t xml:space="preserve">14 ani </w:t>
      </w:r>
      <w:r w:rsidR="00391148">
        <w:rPr>
          <w:rFonts w:ascii="Times New Roman" w:hAnsi="Times New Roman" w:cs="Times New Roman"/>
          <w:sz w:val="24"/>
          <w:szCs w:val="24"/>
          <w:lang w:val="ro-RO"/>
        </w:rPr>
        <w:t>de la c</w:t>
      </w:r>
      <w:r w:rsidR="009228EE">
        <w:rPr>
          <w:rFonts w:ascii="Times New Roman" w:hAnsi="Times New Roman" w:cs="Times New Roman"/>
          <w:sz w:val="24"/>
          <w:szCs w:val="24"/>
          <w:lang w:val="ro-RO"/>
        </w:rPr>
        <w:t>ă</w:t>
      </w:r>
      <w:r w:rsidR="00391148">
        <w:rPr>
          <w:rFonts w:ascii="Times New Roman" w:hAnsi="Times New Roman" w:cs="Times New Roman"/>
          <w:sz w:val="24"/>
          <w:szCs w:val="24"/>
          <w:lang w:val="ro-RO"/>
        </w:rPr>
        <w:t xml:space="preserve">derea comunismului </w:t>
      </w:r>
      <w:r w:rsidR="00F35FC9">
        <w:rPr>
          <w:rFonts w:ascii="Times New Roman" w:hAnsi="Times New Roman" w:cs="Times New Roman"/>
          <w:sz w:val="24"/>
          <w:szCs w:val="24"/>
          <w:lang w:val="ro-RO"/>
        </w:rPr>
        <w:t xml:space="preserve">partidele câștigtoare au ales să își </w:t>
      </w:r>
      <w:r w:rsidR="00D913BF">
        <w:rPr>
          <w:rFonts w:ascii="Times New Roman" w:hAnsi="Times New Roman" w:cs="Times New Roman"/>
          <w:sz w:val="24"/>
          <w:szCs w:val="24"/>
          <w:lang w:val="ro-RO"/>
        </w:rPr>
        <w:t>sporeasc șansele de a câștiga mai multe mandate diminuându-și n</w:t>
      </w:r>
      <w:r w:rsidR="0090129D">
        <w:rPr>
          <w:rFonts w:ascii="Times New Roman" w:hAnsi="Times New Roman" w:cs="Times New Roman"/>
          <w:sz w:val="24"/>
          <w:szCs w:val="24"/>
          <w:lang w:val="ro-RO"/>
        </w:rPr>
        <w:t>um</w:t>
      </w:r>
      <w:r w:rsidR="00D913BF">
        <w:rPr>
          <w:rFonts w:ascii="Times New Roman" w:hAnsi="Times New Roman" w:cs="Times New Roman"/>
          <w:sz w:val="24"/>
          <w:szCs w:val="24"/>
          <w:lang w:val="ro-RO"/>
        </w:rPr>
        <w:t>ărul de contra</w:t>
      </w:r>
      <w:r w:rsidR="0090129D">
        <w:rPr>
          <w:rFonts w:ascii="Times New Roman" w:hAnsi="Times New Roman" w:cs="Times New Roman"/>
          <w:sz w:val="24"/>
          <w:szCs w:val="24"/>
          <w:lang w:val="ro-RO"/>
        </w:rPr>
        <w:t>c</w:t>
      </w:r>
      <w:r w:rsidR="00D913BF">
        <w:rPr>
          <w:rFonts w:ascii="Times New Roman" w:hAnsi="Times New Roman" w:cs="Times New Roman"/>
          <w:sz w:val="24"/>
          <w:szCs w:val="24"/>
          <w:lang w:val="ro-RO"/>
        </w:rPr>
        <w:t>a</w:t>
      </w:r>
      <w:r w:rsidR="0090129D">
        <w:rPr>
          <w:rFonts w:ascii="Times New Roman" w:hAnsi="Times New Roman" w:cs="Times New Roman"/>
          <w:sz w:val="24"/>
          <w:szCs w:val="24"/>
          <w:lang w:val="ro-RO"/>
        </w:rPr>
        <w:t>ndidați, cu atât mai mult c</w:t>
      </w:r>
      <w:r w:rsidR="00D913BF">
        <w:rPr>
          <w:rFonts w:ascii="Times New Roman" w:hAnsi="Times New Roman" w:cs="Times New Roman"/>
          <w:sz w:val="24"/>
          <w:szCs w:val="24"/>
          <w:lang w:val="ro-RO"/>
        </w:rPr>
        <w:t xml:space="preserve">u cât </w:t>
      </w:r>
      <w:r w:rsidR="0090129D">
        <w:rPr>
          <w:rFonts w:ascii="Times New Roman" w:hAnsi="Times New Roman" w:cs="Times New Roman"/>
          <w:sz w:val="24"/>
          <w:szCs w:val="24"/>
          <w:lang w:val="ro-RO"/>
        </w:rPr>
        <w:t>a crescut</w:t>
      </w:r>
      <w:r w:rsidR="00D913BF">
        <w:rPr>
          <w:rFonts w:ascii="Times New Roman" w:hAnsi="Times New Roman" w:cs="Times New Roman"/>
          <w:sz w:val="24"/>
          <w:szCs w:val="24"/>
          <w:lang w:val="ro-RO"/>
        </w:rPr>
        <w:t xml:space="preserve"> simultam și</w:t>
      </w:r>
      <w:r w:rsidR="0090129D">
        <w:rPr>
          <w:rFonts w:ascii="Times New Roman" w:hAnsi="Times New Roman" w:cs="Times New Roman"/>
          <w:sz w:val="24"/>
          <w:szCs w:val="24"/>
          <w:lang w:val="ro-RO"/>
        </w:rPr>
        <w:t xml:space="preserve"> pragul electoral.</w:t>
      </w:r>
      <w:r w:rsidR="001B2F35">
        <w:rPr>
          <w:rFonts w:ascii="Times New Roman" w:hAnsi="Times New Roman" w:cs="Times New Roman"/>
          <w:sz w:val="24"/>
          <w:szCs w:val="24"/>
          <w:lang w:val="ro-RO"/>
        </w:rPr>
        <w:t xml:space="preserve"> Este adevărat că asf</w:t>
      </w:r>
      <w:r w:rsidR="00D913BF">
        <w:rPr>
          <w:rFonts w:ascii="Times New Roman" w:hAnsi="Times New Roman" w:cs="Times New Roman"/>
          <w:sz w:val="24"/>
          <w:szCs w:val="24"/>
          <w:lang w:val="ro-RO"/>
        </w:rPr>
        <w:t>t</w:t>
      </w:r>
      <w:r w:rsidR="001B2F35">
        <w:rPr>
          <w:rFonts w:ascii="Times New Roman" w:hAnsi="Times New Roman" w:cs="Times New Roman"/>
          <w:sz w:val="24"/>
          <w:szCs w:val="24"/>
          <w:lang w:val="ro-RO"/>
        </w:rPr>
        <w:t>el de m</w:t>
      </w:r>
      <w:r w:rsidR="00D913BF">
        <w:rPr>
          <w:rFonts w:ascii="Times New Roman" w:hAnsi="Times New Roman" w:cs="Times New Roman"/>
          <w:sz w:val="24"/>
          <w:szCs w:val="24"/>
          <w:lang w:val="ro-RO"/>
        </w:rPr>
        <w:t xml:space="preserve">ăsuri </w:t>
      </w:r>
      <w:r w:rsidR="001B2F35">
        <w:rPr>
          <w:rFonts w:ascii="Times New Roman" w:hAnsi="Times New Roman" w:cs="Times New Roman"/>
          <w:sz w:val="24"/>
          <w:szCs w:val="24"/>
          <w:lang w:val="ro-RO"/>
        </w:rPr>
        <w:t>au contibuit la consolidarea sistemului de part</w:t>
      </w:r>
      <w:r w:rsidR="00D913BF">
        <w:rPr>
          <w:rFonts w:ascii="Times New Roman" w:hAnsi="Times New Roman" w:cs="Times New Roman"/>
          <w:sz w:val="24"/>
          <w:szCs w:val="24"/>
          <w:lang w:val="ro-RO"/>
        </w:rPr>
        <w:t xml:space="preserve">ide, însă nu au făcut decât să înghețe o imagine a unui moment </w:t>
      </w:r>
      <w:r w:rsidR="001B2F35">
        <w:rPr>
          <w:rFonts w:ascii="Times New Roman" w:hAnsi="Times New Roman" w:cs="Times New Roman"/>
          <w:sz w:val="24"/>
          <w:szCs w:val="24"/>
          <w:lang w:val="ro-RO"/>
        </w:rPr>
        <w:t>a unui sistem care oricum se afla în mișcare dat fiind faptul că pluripartid</w:t>
      </w:r>
      <w:r w:rsidR="00D913BF">
        <w:rPr>
          <w:rFonts w:ascii="Times New Roman" w:hAnsi="Times New Roman" w:cs="Times New Roman"/>
          <w:sz w:val="24"/>
          <w:szCs w:val="24"/>
          <w:lang w:val="ro-RO"/>
        </w:rPr>
        <w:t xml:space="preserve">ismul românesc se afla la începutul existeinței sale. </w:t>
      </w:r>
      <w:r w:rsidR="001B2F35">
        <w:rPr>
          <w:rFonts w:ascii="Times New Roman" w:hAnsi="Times New Roman" w:cs="Times New Roman"/>
          <w:sz w:val="24"/>
          <w:szCs w:val="24"/>
          <w:lang w:val="ro-RO"/>
        </w:rPr>
        <w:t>Din acest motiv, un număr mare de semn</w:t>
      </w:r>
      <w:r w:rsidR="00887AFC">
        <w:rPr>
          <w:rFonts w:ascii="Times New Roman" w:hAnsi="Times New Roman" w:cs="Times New Roman"/>
          <w:sz w:val="24"/>
          <w:szCs w:val="24"/>
          <w:lang w:val="ro-RO"/>
        </w:rPr>
        <w:t>ături, prea mar</w:t>
      </w:r>
      <w:r w:rsidR="001B2F35">
        <w:rPr>
          <w:rFonts w:ascii="Times New Roman" w:hAnsi="Times New Roman" w:cs="Times New Roman"/>
          <w:sz w:val="24"/>
          <w:szCs w:val="24"/>
          <w:lang w:val="ro-RO"/>
        </w:rPr>
        <w:t>e</w:t>
      </w:r>
      <w:r w:rsidR="00D913BF">
        <w:rPr>
          <w:rFonts w:ascii="Times New Roman" w:hAnsi="Times New Roman" w:cs="Times New Roman"/>
          <w:sz w:val="24"/>
          <w:szCs w:val="24"/>
          <w:lang w:val="ro-RO"/>
        </w:rPr>
        <w:t xml:space="preserve">, </w:t>
      </w:r>
      <w:r w:rsidR="001B2F35">
        <w:rPr>
          <w:rFonts w:ascii="Times New Roman" w:hAnsi="Times New Roman" w:cs="Times New Roman"/>
          <w:sz w:val="24"/>
          <w:szCs w:val="24"/>
          <w:lang w:val="ro-RO"/>
        </w:rPr>
        <w:t>cum este cazul României</w:t>
      </w:r>
      <w:r w:rsidR="00D913BF">
        <w:rPr>
          <w:rFonts w:ascii="Times New Roman" w:hAnsi="Times New Roman" w:cs="Times New Roman"/>
          <w:sz w:val="24"/>
          <w:szCs w:val="24"/>
          <w:lang w:val="ro-RO"/>
        </w:rPr>
        <w:t>,</w:t>
      </w:r>
      <w:r w:rsidR="001B2F35">
        <w:rPr>
          <w:rFonts w:ascii="Times New Roman" w:hAnsi="Times New Roman" w:cs="Times New Roman"/>
          <w:sz w:val="24"/>
          <w:szCs w:val="24"/>
          <w:lang w:val="ro-RO"/>
        </w:rPr>
        <w:t xml:space="preserve"> defavorizeaza competiția pol</w:t>
      </w:r>
      <w:r w:rsidR="00D913BF">
        <w:rPr>
          <w:rFonts w:ascii="Times New Roman" w:hAnsi="Times New Roman" w:cs="Times New Roman"/>
          <w:sz w:val="24"/>
          <w:szCs w:val="24"/>
          <w:lang w:val="ro-RO"/>
        </w:rPr>
        <w:t>i</w:t>
      </w:r>
      <w:r w:rsidR="001B2F35">
        <w:rPr>
          <w:rFonts w:ascii="Times New Roman" w:hAnsi="Times New Roman" w:cs="Times New Roman"/>
          <w:sz w:val="24"/>
          <w:szCs w:val="24"/>
          <w:lang w:val="ro-RO"/>
        </w:rPr>
        <w:t>tic</w:t>
      </w:r>
      <w:r w:rsidR="00D913BF">
        <w:rPr>
          <w:rFonts w:ascii="Times New Roman" w:hAnsi="Times New Roman" w:cs="Times New Roman"/>
          <w:sz w:val="24"/>
          <w:szCs w:val="24"/>
          <w:lang w:val="ro-RO"/>
        </w:rPr>
        <w:t>ă</w:t>
      </w:r>
      <w:r w:rsidR="001B2F35">
        <w:rPr>
          <w:rFonts w:ascii="Times New Roman" w:hAnsi="Times New Roman" w:cs="Times New Roman"/>
          <w:sz w:val="24"/>
          <w:szCs w:val="24"/>
          <w:lang w:val="ro-RO"/>
        </w:rPr>
        <w:t xml:space="preserve"> în sine</w:t>
      </w:r>
      <w:r w:rsidR="00D913BF">
        <w:rPr>
          <w:rFonts w:ascii="Times New Roman" w:hAnsi="Times New Roman" w:cs="Times New Roman"/>
          <w:sz w:val="24"/>
          <w:szCs w:val="24"/>
          <w:lang w:val="ro-RO"/>
        </w:rPr>
        <w:t>,</w:t>
      </w:r>
      <w:r w:rsidR="001B2F35">
        <w:rPr>
          <w:rFonts w:ascii="Times New Roman" w:hAnsi="Times New Roman" w:cs="Times New Roman"/>
          <w:sz w:val="24"/>
          <w:szCs w:val="24"/>
          <w:lang w:val="ro-RO"/>
        </w:rPr>
        <w:t xml:space="preserve"> cu atâ</w:t>
      </w:r>
      <w:r w:rsidR="00887AFC">
        <w:rPr>
          <w:rFonts w:ascii="Times New Roman" w:hAnsi="Times New Roman" w:cs="Times New Roman"/>
          <w:sz w:val="24"/>
          <w:szCs w:val="24"/>
          <w:lang w:val="ro-RO"/>
        </w:rPr>
        <w:t>t mai mult cu cât ar trebui s</w:t>
      </w:r>
      <w:r w:rsidR="00D913BF">
        <w:rPr>
          <w:rFonts w:ascii="Times New Roman" w:hAnsi="Times New Roman" w:cs="Times New Roman"/>
          <w:sz w:val="24"/>
          <w:szCs w:val="24"/>
          <w:lang w:val="ro-RO"/>
        </w:rPr>
        <w:t>ă</w:t>
      </w:r>
      <w:r w:rsidR="00887AFC">
        <w:rPr>
          <w:rFonts w:ascii="Times New Roman" w:hAnsi="Times New Roman" w:cs="Times New Roman"/>
          <w:sz w:val="24"/>
          <w:szCs w:val="24"/>
          <w:lang w:val="ro-RO"/>
        </w:rPr>
        <w:t xml:space="preserve"> fie înlesnită </w:t>
      </w:r>
      <w:r w:rsidR="00261059">
        <w:rPr>
          <w:rFonts w:ascii="Times New Roman" w:hAnsi="Times New Roman" w:cs="Times New Roman"/>
          <w:sz w:val="24"/>
          <w:szCs w:val="24"/>
          <w:lang w:val="ro-RO"/>
        </w:rPr>
        <w:t>dat fiind trecutul recent totalitar. Competi</w:t>
      </w:r>
      <w:r w:rsidR="00A627A0">
        <w:rPr>
          <w:rFonts w:ascii="Times New Roman" w:hAnsi="Times New Roman" w:cs="Times New Roman"/>
          <w:sz w:val="24"/>
          <w:szCs w:val="24"/>
          <w:lang w:val="ro-RO"/>
        </w:rPr>
        <w:t>ț</w:t>
      </w:r>
      <w:r w:rsidR="00261059">
        <w:rPr>
          <w:rFonts w:ascii="Times New Roman" w:hAnsi="Times New Roman" w:cs="Times New Roman"/>
          <w:sz w:val="24"/>
          <w:szCs w:val="24"/>
          <w:lang w:val="ro-RO"/>
        </w:rPr>
        <w:t>ía politic</w:t>
      </w:r>
      <w:r w:rsidR="00A627A0">
        <w:rPr>
          <w:rFonts w:ascii="Times New Roman" w:hAnsi="Times New Roman" w:cs="Times New Roman"/>
          <w:sz w:val="24"/>
          <w:szCs w:val="24"/>
          <w:lang w:val="ro-RO"/>
        </w:rPr>
        <w:t>ă, ca ș</w:t>
      </w:r>
      <w:r w:rsidR="00261059">
        <w:rPr>
          <w:rFonts w:ascii="Times New Roman" w:hAnsi="Times New Roman" w:cs="Times New Roman"/>
          <w:sz w:val="24"/>
          <w:szCs w:val="24"/>
          <w:lang w:val="ro-RO"/>
        </w:rPr>
        <w:t>i cea de piaț</w:t>
      </w:r>
      <w:r w:rsidR="00A627A0">
        <w:rPr>
          <w:rFonts w:ascii="Times New Roman" w:hAnsi="Times New Roman" w:cs="Times New Roman"/>
          <w:sz w:val="24"/>
          <w:szCs w:val="24"/>
          <w:lang w:val="ro-RO"/>
        </w:rPr>
        <w:t>ă</w:t>
      </w:r>
      <w:r w:rsidR="00267A4E">
        <w:rPr>
          <w:rFonts w:ascii="Times New Roman" w:hAnsi="Times New Roman" w:cs="Times New Roman"/>
          <w:sz w:val="24"/>
          <w:szCs w:val="24"/>
          <w:lang w:val="ro-RO"/>
        </w:rPr>
        <w:t xml:space="preserve"> este bună, contribuie la calitatea actului de guvernare. Stimulentele compe</w:t>
      </w:r>
      <w:r w:rsidR="00A627A0">
        <w:rPr>
          <w:rFonts w:ascii="Times New Roman" w:hAnsi="Times New Roman" w:cs="Times New Roman"/>
          <w:sz w:val="24"/>
          <w:szCs w:val="24"/>
          <w:lang w:val="ro-RO"/>
        </w:rPr>
        <w:t>t</w:t>
      </w:r>
      <w:r w:rsidR="00267A4E">
        <w:rPr>
          <w:rFonts w:ascii="Times New Roman" w:hAnsi="Times New Roman" w:cs="Times New Roman"/>
          <w:sz w:val="24"/>
          <w:szCs w:val="24"/>
          <w:lang w:val="ro-RO"/>
        </w:rPr>
        <w:t>iției în sine îi forțează pe competitori să devină tot mai bun</w:t>
      </w:r>
      <w:r w:rsidR="002E7ED8">
        <w:rPr>
          <w:rFonts w:ascii="Times New Roman" w:hAnsi="Times New Roman" w:cs="Times New Roman"/>
          <w:sz w:val="24"/>
          <w:szCs w:val="24"/>
          <w:lang w:val="ro-RO"/>
        </w:rPr>
        <w:t>i și mai responsabili. Nu este de mirare că în România postcomuni</w:t>
      </w:r>
      <w:r w:rsidR="00A627A0">
        <w:rPr>
          <w:rFonts w:ascii="Times New Roman" w:hAnsi="Times New Roman" w:cs="Times New Roman"/>
          <w:sz w:val="24"/>
          <w:szCs w:val="24"/>
          <w:lang w:val="ro-RO"/>
        </w:rPr>
        <w:t>stă,</w:t>
      </w:r>
      <w:r w:rsidR="002E7ED8">
        <w:rPr>
          <w:rFonts w:ascii="Times New Roman" w:hAnsi="Times New Roman" w:cs="Times New Roman"/>
          <w:sz w:val="24"/>
          <w:szCs w:val="24"/>
          <w:lang w:val="ro-RO"/>
        </w:rPr>
        <w:t xml:space="preserve"> treptat</w:t>
      </w:r>
      <w:r w:rsidR="00A627A0">
        <w:rPr>
          <w:rFonts w:ascii="Times New Roman" w:hAnsi="Times New Roman" w:cs="Times New Roman"/>
          <w:sz w:val="24"/>
          <w:szCs w:val="24"/>
          <w:lang w:val="ro-RO"/>
        </w:rPr>
        <w:t>,</w:t>
      </w:r>
      <w:r w:rsidR="002E7ED8">
        <w:rPr>
          <w:rFonts w:ascii="Times New Roman" w:hAnsi="Times New Roman" w:cs="Times New Roman"/>
          <w:sz w:val="24"/>
          <w:szCs w:val="24"/>
          <w:lang w:val="ro-RO"/>
        </w:rPr>
        <w:t xml:space="preserve"> partidele au pierdut atât de mu</w:t>
      </w:r>
      <w:r w:rsidR="00A627A0">
        <w:rPr>
          <w:rFonts w:ascii="Times New Roman" w:hAnsi="Times New Roman" w:cs="Times New Roman"/>
          <w:sz w:val="24"/>
          <w:szCs w:val="24"/>
          <w:lang w:val="ro-RO"/>
        </w:rPr>
        <w:t>lt î</w:t>
      </w:r>
      <w:r w:rsidR="002E7ED8">
        <w:rPr>
          <w:rFonts w:ascii="Times New Roman" w:hAnsi="Times New Roman" w:cs="Times New Roman"/>
          <w:sz w:val="24"/>
          <w:szCs w:val="24"/>
          <w:lang w:val="ro-RO"/>
        </w:rPr>
        <w:t>ncrederea cetățenilor</w:t>
      </w:r>
      <w:r w:rsidR="00A627A0">
        <w:rPr>
          <w:rFonts w:ascii="Times New Roman" w:hAnsi="Times New Roman" w:cs="Times New Roman"/>
          <w:sz w:val="24"/>
          <w:szCs w:val="24"/>
          <w:lang w:val="ro-RO"/>
        </w:rPr>
        <w:t>,</w:t>
      </w:r>
      <w:r w:rsidR="002E7ED8">
        <w:rPr>
          <w:rFonts w:ascii="Times New Roman" w:hAnsi="Times New Roman" w:cs="Times New Roman"/>
          <w:sz w:val="24"/>
          <w:szCs w:val="24"/>
          <w:lang w:val="ro-RO"/>
        </w:rPr>
        <w:t xml:space="preserve"> devenind actorii pol</w:t>
      </w:r>
      <w:r w:rsidR="00A627A0">
        <w:rPr>
          <w:rFonts w:ascii="Times New Roman" w:hAnsi="Times New Roman" w:cs="Times New Roman"/>
          <w:sz w:val="24"/>
          <w:szCs w:val="24"/>
          <w:lang w:val="ro-RO"/>
        </w:rPr>
        <w:t>iti</w:t>
      </w:r>
      <w:r w:rsidR="002E7ED8">
        <w:rPr>
          <w:rFonts w:ascii="Times New Roman" w:hAnsi="Times New Roman" w:cs="Times New Roman"/>
          <w:sz w:val="24"/>
          <w:szCs w:val="24"/>
          <w:lang w:val="ro-RO"/>
        </w:rPr>
        <w:t>ci cu cea mai joas</w:t>
      </w:r>
      <w:r w:rsidR="00A627A0">
        <w:rPr>
          <w:rFonts w:ascii="Times New Roman" w:hAnsi="Times New Roman" w:cs="Times New Roman"/>
          <w:sz w:val="24"/>
          <w:szCs w:val="24"/>
          <w:lang w:val="ro-RO"/>
        </w:rPr>
        <w:t>ă</w:t>
      </w:r>
      <w:r w:rsidR="002E7ED8">
        <w:rPr>
          <w:rFonts w:ascii="Times New Roman" w:hAnsi="Times New Roman" w:cs="Times New Roman"/>
          <w:sz w:val="24"/>
          <w:szCs w:val="24"/>
          <w:lang w:val="ro-RO"/>
        </w:rPr>
        <w:t xml:space="preserve"> cot</w:t>
      </w:r>
      <w:r w:rsidR="00A627A0">
        <w:rPr>
          <w:rFonts w:ascii="Times New Roman" w:hAnsi="Times New Roman" w:cs="Times New Roman"/>
          <w:sz w:val="24"/>
          <w:szCs w:val="24"/>
          <w:lang w:val="ro-RO"/>
        </w:rPr>
        <w:t>ă</w:t>
      </w:r>
      <w:r w:rsidR="002E7ED8">
        <w:rPr>
          <w:rFonts w:ascii="Times New Roman" w:hAnsi="Times New Roman" w:cs="Times New Roman"/>
          <w:sz w:val="24"/>
          <w:szCs w:val="24"/>
          <w:lang w:val="ro-RO"/>
        </w:rPr>
        <w:t xml:space="preserve"> de încredere </w:t>
      </w:r>
      <w:r w:rsidR="00A627A0">
        <w:rPr>
          <w:rFonts w:ascii="Times New Roman" w:hAnsi="Times New Roman" w:cs="Times New Roman"/>
          <w:sz w:val="24"/>
          <w:szCs w:val="24"/>
          <w:lang w:val="ro-RO"/>
        </w:rPr>
        <w:t>din România, deoarece au devenit pu</w:t>
      </w:r>
      <w:r w:rsidR="002E7ED8">
        <w:rPr>
          <w:rFonts w:ascii="Times New Roman" w:hAnsi="Times New Roman" w:cs="Times New Roman"/>
          <w:sz w:val="24"/>
          <w:szCs w:val="24"/>
          <w:lang w:val="ro-RO"/>
        </w:rPr>
        <w:t xml:space="preserve">ține </w:t>
      </w:r>
      <w:r w:rsidR="00E82FC1">
        <w:rPr>
          <w:rFonts w:ascii="Times New Roman" w:hAnsi="Times New Roman" w:cs="Times New Roman"/>
          <w:sz w:val="24"/>
          <w:szCs w:val="24"/>
          <w:lang w:val="ro-RO"/>
        </w:rPr>
        <w:t>și asociate fenomenului corupției. Cota de încredere mică și competiția politic</w:t>
      </w:r>
      <w:r w:rsidR="00A627A0">
        <w:rPr>
          <w:rFonts w:ascii="Times New Roman" w:hAnsi="Times New Roman" w:cs="Times New Roman"/>
          <w:sz w:val="24"/>
          <w:szCs w:val="24"/>
          <w:lang w:val="ro-RO"/>
        </w:rPr>
        <w:t>ă</w:t>
      </w:r>
      <w:r w:rsidR="00E82FC1">
        <w:rPr>
          <w:rFonts w:ascii="Times New Roman" w:hAnsi="Times New Roman" w:cs="Times New Roman"/>
          <w:sz w:val="24"/>
          <w:szCs w:val="24"/>
          <w:lang w:val="ro-RO"/>
        </w:rPr>
        <w:t xml:space="preserve"> din România care este una dintre cele mai constrângătoare </w:t>
      </w:r>
      <w:r w:rsidR="00D6451D">
        <w:rPr>
          <w:rFonts w:ascii="Times New Roman" w:hAnsi="Times New Roman" w:cs="Times New Roman"/>
          <w:sz w:val="24"/>
          <w:szCs w:val="24"/>
          <w:lang w:val="ro-RO"/>
        </w:rPr>
        <w:t>nu descrie tocmai peisajul plu</w:t>
      </w:r>
      <w:r w:rsidR="00A627A0">
        <w:rPr>
          <w:rFonts w:ascii="Times New Roman" w:hAnsi="Times New Roman" w:cs="Times New Roman"/>
          <w:sz w:val="24"/>
          <w:szCs w:val="24"/>
          <w:lang w:val="ro-RO"/>
        </w:rPr>
        <w:t xml:space="preserve">ripartidismului </w:t>
      </w:r>
      <w:r w:rsidR="00D6451D">
        <w:rPr>
          <w:rFonts w:ascii="Times New Roman" w:hAnsi="Times New Roman" w:cs="Times New Roman"/>
          <w:sz w:val="24"/>
          <w:szCs w:val="24"/>
          <w:lang w:val="ro-RO"/>
        </w:rPr>
        <w:t>intențioant de</w:t>
      </w:r>
      <w:r w:rsidR="00A627A0">
        <w:rPr>
          <w:rFonts w:ascii="Times New Roman" w:hAnsi="Times New Roman" w:cs="Times New Roman"/>
          <w:sz w:val="24"/>
          <w:szCs w:val="24"/>
          <w:lang w:val="ro-RO"/>
        </w:rPr>
        <w:t xml:space="preserve"> spiritul legii surprins în Constituția României.</w:t>
      </w:r>
      <w:r w:rsidR="00D6451D">
        <w:rPr>
          <w:rFonts w:ascii="Times New Roman" w:hAnsi="Times New Roman" w:cs="Times New Roman"/>
          <w:sz w:val="24"/>
          <w:szCs w:val="24"/>
          <w:lang w:val="ro-RO"/>
        </w:rPr>
        <w:t xml:space="preserve"> </w:t>
      </w:r>
      <w:r w:rsidR="0067026D">
        <w:rPr>
          <w:rFonts w:ascii="Times New Roman" w:hAnsi="Times New Roman" w:cs="Times New Roman"/>
          <w:sz w:val="24"/>
          <w:szCs w:val="24"/>
          <w:lang w:val="ro-RO"/>
        </w:rPr>
        <w:t>Rolul partidelor în buna guvernare este unul bine sta</w:t>
      </w:r>
      <w:r w:rsidR="00A627A0">
        <w:rPr>
          <w:rFonts w:ascii="Times New Roman" w:hAnsi="Times New Roman" w:cs="Times New Roman"/>
          <w:sz w:val="24"/>
          <w:szCs w:val="24"/>
          <w:lang w:val="ro-RO"/>
        </w:rPr>
        <w:t xml:space="preserve">tuat în Consitutție și, de altfel, </w:t>
      </w:r>
      <w:r w:rsidR="0067026D">
        <w:rPr>
          <w:rFonts w:ascii="Times New Roman" w:hAnsi="Times New Roman" w:cs="Times New Roman"/>
          <w:sz w:val="24"/>
          <w:szCs w:val="24"/>
          <w:lang w:val="ro-RO"/>
        </w:rPr>
        <w:t xml:space="preserve">multe decizii ale CCR și-au bazat argumentările </w:t>
      </w:r>
      <w:r w:rsidR="00E03CB4">
        <w:rPr>
          <w:rFonts w:ascii="Times New Roman" w:hAnsi="Times New Roman" w:cs="Times New Roman"/>
          <w:sz w:val="24"/>
          <w:szCs w:val="24"/>
          <w:lang w:val="ro-RO"/>
        </w:rPr>
        <w:t>pe rolul proeminent al partidelor în constructul dem</w:t>
      </w:r>
      <w:r w:rsidR="00A627A0">
        <w:rPr>
          <w:rFonts w:ascii="Times New Roman" w:hAnsi="Times New Roman" w:cs="Times New Roman"/>
          <w:sz w:val="24"/>
          <w:szCs w:val="24"/>
          <w:lang w:val="ro-RO"/>
        </w:rPr>
        <w:t xml:space="preserve">ocrației </w:t>
      </w:r>
      <w:r w:rsidR="00E03CB4">
        <w:rPr>
          <w:rFonts w:ascii="Times New Roman" w:hAnsi="Times New Roman" w:cs="Times New Roman"/>
          <w:sz w:val="24"/>
          <w:szCs w:val="24"/>
          <w:lang w:val="ro-RO"/>
        </w:rPr>
        <w:t xml:space="preserve">românești. </w:t>
      </w:r>
      <w:r w:rsidR="004E195C">
        <w:rPr>
          <w:rFonts w:ascii="Times New Roman" w:hAnsi="Times New Roman" w:cs="Times New Roman"/>
          <w:sz w:val="24"/>
          <w:szCs w:val="24"/>
          <w:lang w:val="ro-RO"/>
        </w:rPr>
        <w:t>România a ales s</w:t>
      </w:r>
      <w:r w:rsidR="00A627A0">
        <w:rPr>
          <w:rFonts w:ascii="Times New Roman" w:hAnsi="Times New Roman" w:cs="Times New Roman"/>
          <w:sz w:val="24"/>
          <w:szCs w:val="24"/>
          <w:lang w:val="ro-RO"/>
        </w:rPr>
        <w:t>ă</w:t>
      </w:r>
      <w:r w:rsidR="004E195C">
        <w:rPr>
          <w:rFonts w:ascii="Times New Roman" w:hAnsi="Times New Roman" w:cs="Times New Roman"/>
          <w:sz w:val="24"/>
          <w:szCs w:val="24"/>
          <w:lang w:val="ro-RO"/>
        </w:rPr>
        <w:t xml:space="preserve"> fie țara cu cele mai multe semn</w:t>
      </w:r>
      <w:r w:rsidR="00A627A0">
        <w:rPr>
          <w:rFonts w:ascii="Times New Roman" w:hAnsi="Times New Roman" w:cs="Times New Roman"/>
          <w:sz w:val="24"/>
          <w:szCs w:val="24"/>
          <w:lang w:val="ro-RO"/>
        </w:rPr>
        <w:t>ături solicitate</w:t>
      </w:r>
      <w:r w:rsidR="004E195C">
        <w:rPr>
          <w:rFonts w:ascii="Times New Roman" w:hAnsi="Times New Roman" w:cs="Times New Roman"/>
          <w:sz w:val="24"/>
          <w:szCs w:val="24"/>
          <w:lang w:val="ro-RO"/>
        </w:rPr>
        <w:t xml:space="preserve"> candidaților la alegerile europe </w:t>
      </w:r>
      <w:r w:rsidR="00AD2CC4">
        <w:rPr>
          <w:rFonts w:ascii="Times New Roman" w:hAnsi="Times New Roman" w:cs="Times New Roman"/>
          <w:sz w:val="24"/>
          <w:szCs w:val="24"/>
          <w:lang w:val="ro-RO"/>
        </w:rPr>
        <w:t xml:space="preserve">în termeni numerici, nu și procentuali raportat la mrimea populației cu drept de vot, </w:t>
      </w:r>
      <w:r w:rsidR="004E195C">
        <w:rPr>
          <w:rFonts w:ascii="Times New Roman" w:hAnsi="Times New Roman" w:cs="Times New Roman"/>
          <w:sz w:val="24"/>
          <w:szCs w:val="24"/>
          <w:lang w:val="ro-RO"/>
        </w:rPr>
        <w:t xml:space="preserve">situandu-se foarte departe de media europeană, </w:t>
      </w:r>
      <w:r w:rsidR="00A627A0">
        <w:rPr>
          <w:rFonts w:ascii="Times New Roman" w:hAnsi="Times New Roman" w:cs="Times New Roman"/>
          <w:sz w:val="24"/>
          <w:szCs w:val="24"/>
          <w:lang w:val="ro-RO"/>
        </w:rPr>
        <w:t>la o</w:t>
      </w:r>
      <w:r w:rsidR="004E195C">
        <w:rPr>
          <w:rFonts w:ascii="Times New Roman" w:hAnsi="Times New Roman" w:cs="Times New Roman"/>
          <w:sz w:val="24"/>
          <w:szCs w:val="24"/>
          <w:lang w:val="ro-RO"/>
        </w:rPr>
        <w:t xml:space="preserve"> extremă</w:t>
      </w:r>
      <w:r w:rsidR="00A627A0">
        <w:rPr>
          <w:rFonts w:ascii="Times New Roman" w:hAnsi="Times New Roman" w:cs="Times New Roman"/>
          <w:sz w:val="24"/>
          <w:szCs w:val="24"/>
          <w:lang w:val="ro-RO"/>
        </w:rPr>
        <w:t>, efectiv</w:t>
      </w:r>
      <w:r w:rsidR="004E195C">
        <w:rPr>
          <w:rFonts w:ascii="Times New Roman" w:hAnsi="Times New Roman" w:cs="Times New Roman"/>
          <w:sz w:val="24"/>
          <w:szCs w:val="24"/>
          <w:lang w:val="ro-RO"/>
        </w:rPr>
        <w:t>. Condițiile cele mai rigide nu par să se potriveacă trecutului României.</w:t>
      </w:r>
      <w:r w:rsidR="004C0638">
        <w:rPr>
          <w:rFonts w:ascii="Times New Roman" w:hAnsi="Times New Roman" w:cs="Times New Roman"/>
          <w:sz w:val="24"/>
          <w:szCs w:val="24"/>
          <w:lang w:val="ro-RO"/>
        </w:rPr>
        <w:t xml:space="preserve"> Un prim indiciu ar fi faptul că România ar putea </w:t>
      </w:r>
      <w:r w:rsidR="00A627A0">
        <w:rPr>
          <w:rFonts w:ascii="Times New Roman" w:hAnsi="Times New Roman" w:cs="Times New Roman"/>
          <w:sz w:val="24"/>
          <w:szCs w:val="24"/>
          <w:lang w:val="ro-RO"/>
        </w:rPr>
        <w:t>renunța</w:t>
      </w:r>
      <w:r w:rsidR="004C0638">
        <w:rPr>
          <w:rFonts w:ascii="Times New Roman" w:hAnsi="Times New Roman" w:cs="Times New Roman"/>
          <w:sz w:val="24"/>
          <w:szCs w:val="24"/>
          <w:lang w:val="ro-RO"/>
        </w:rPr>
        <w:t xml:space="preserve"> la viziunea acesta mai degraba extremi</w:t>
      </w:r>
      <w:r w:rsidR="0068547E">
        <w:rPr>
          <w:rFonts w:ascii="Times New Roman" w:hAnsi="Times New Roman" w:cs="Times New Roman"/>
          <w:sz w:val="24"/>
          <w:szCs w:val="24"/>
          <w:lang w:val="ro-RO"/>
        </w:rPr>
        <w:t>s</w:t>
      </w:r>
      <w:r w:rsidR="004C0638">
        <w:rPr>
          <w:rFonts w:ascii="Times New Roman" w:hAnsi="Times New Roman" w:cs="Times New Roman"/>
          <w:sz w:val="24"/>
          <w:szCs w:val="24"/>
          <w:lang w:val="ro-RO"/>
        </w:rPr>
        <w:t>tă, deloc potrivit pentru o democrație care se află încă la granița dintre consolidare și în curs de consolidare.</w:t>
      </w:r>
      <w:r w:rsidR="004C0638">
        <w:rPr>
          <w:rStyle w:val="FootnoteReference"/>
          <w:rFonts w:ascii="Times New Roman" w:hAnsi="Times New Roman" w:cs="Times New Roman"/>
          <w:sz w:val="24"/>
          <w:szCs w:val="24"/>
          <w:lang w:val="ro-RO"/>
        </w:rPr>
        <w:footnoteReference w:id="60"/>
      </w:r>
      <w:r w:rsidR="0068547E">
        <w:rPr>
          <w:rFonts w:ascii="Times New Roman" w:hAnsi="Times New Roman" w:cs="Times New Roman"/>
          <w:sz w:val="24"/>
          <w:szCs w:val="24"/>
          <w:lang w:val="ro-RO"/>
        </w:rPr>
        <w:t xml:space="preserve"> Român</w:t>
      </w:r>
      <w:r w:rsidR="004C0638">
        <w:rPr>
          <w:rFonts w:ascii="Times New Roman" w:hAnsi="Times New Roman" w:cs="Times New Roman"/>
          <w:sz w:val="24"/>
          <w:szCs w:val="24"/>
          <w:lang w:val="ro-RO"/>
        </w:rPr>
        <w:t>ia încalcă reco</w:t>
      </w:r>
      <w:r w:rsidR="008C3B31">
        <w:rPr>
          <w:rFonts w:ascii="Times New Roman" w:hAnsi="Times New Roman" w:cs="Times New Roman"/>
          <w:sz w:val="24"/>
          <w:szCs w:val="24"/>
          <w:lang w:val="ro-RO"/>
        </w:rPr>
        <w:t>mandarile Comisie</w:t>
      </w:r>
      <w:r w:rsidR="002B634B">
        <w:rPr>
          <w:rFonts w:ascii="Times New Roman" w:hAnsi="Times New Roman" w:cs="Times New Roman"/>
          <w:sz w:val="24"/>
          <w:szCs w:val="24"/>
          <w:lang w:val="ro-RO"/>
        </w:rPr>
        <w:t>i</w:t>
      </w:r>
      <w:r w:rsidR="008C3B31">
        <w:rPr>
          <w:rFonts w:ascii="Times New Roman" w:hAnsi="Times New Roman" w:cs="Times New Roman"/>
          <w:sz w:val="24"/>
          <w:szCs w:val="24"/>
          <w:lang w:val="ro-RO"/>
        </w:rPr>
        <w:t xml:space="preserve"> </w:t>
      </w:r>
      <w:r w:rsidR="002B634B">
        <w:rPr>
          <w:rFonts w:ascii="Times New Roman" w:hAnsi="Times New Roman" w:cs="Times New Roman"/>
          <w:sz w:val="24"/>
          <w:szCs w:val="24"/>
          <w:lang w:val="ro-RO"/>
        </w:rPr>
        <w:t xml:space="preserve">de la Veneția, depășind cei 1% </w:t>
      </w:r>
      <w:r w:rsidR="008E335A">
        <w:rPr>
          <w:rFonts w:ascii="Times New Roman" w:hAnsi="Times New Roman" w:cs="Times New Roman"/>
          <w:sz w:val="24"/>
          <w:szCs w:val="24"/>
          <w:lang w:val="ro-RO"/>
        </w:rPr>
        <w:t>recomandați pentru numărul de semnături</w:t>
      </w:r>
      <w:r w:rsidR="002B634B">
        <w:rPr>
          <w:rFonts w:ascii="Times New Roman" w:hAnsi="Times New Roman" w:cs="Times New Roman"/>
          <w:sz w:val="24"/>
          <w:szCs w:val="24"/>
          <w:lang w:val="ro-RO"/>
        </w:rPr>
        <w:t xml:space="preserve"> </w:t>
      </w:r>
      <w:r w:rsidR="00EF2ACF">
        <w:rPr>
          <w:rFonts w:ascii="Times New Roman" w:hAnsi="Times New Roman" w:cs="Times New Roman"/>
          <w:sz w:val="24"/>
          <w:szCs w:val="24"/>
          <w:lang w:val="ro-RO"/>
        </w:rPr>
        <w:t xml:space="preserve">și </w:t>
      </w:r>
      <w:r w:rsidR="002B634B">
        <w:rPr>
          <w:rFonts w:ascii="Times New Roman" w:hAnsi="Times New Roman" w:cs="Times New Roman"/>
          <w:sz w:val="24"/>
          <w:szCs w:val="24"/>
          <w:lang w:val="ro-RO"/>
        </w:rPr>
        <w:t xml:space="preserve">nu </w:t>
      </w:r>
      <w:r w:rsidR="00EF2ACF">
        <w:rPr>
          <w:rFonts w:ascii="Times New Roman" w:hAnsi="Times New Roman" w:cs="Times New Roman"/>
          <w:sz w:val="24"/>
          <w:szCs w:val="24"/>
          <w:lang w:val="ro-RO"/>
        </w:rPr>
        <w:t>îi stă bine unei dem</w:t>
      </w:r>
      <w:r w:rsidR="008C3B31">
        <w:rPr>
          <w:rFonts w:ascii="Times New Roman" w:hAnsi="Times New Roman" w:cs="Times New Roman"/>
          <w:sz w:val="24"/>
          <w:szCs w:val="24"/>
          <w:lang w:val="ro-RO"/>
        </w:rPr>
        <w:t>o</w:t>
      </w:r>
      <w:r w:rsidR="00EF2ACF">
        <w:rPr>
          <w:rFonts w:ascii="Times New Roman" w:hAnsi="Times New Roman" w:cs="Times New Roman"/>
          <w:sz w:val="24"/>
          <w:szCs w:val="24"/>
          <w:lang w:val="ro-RO"/>
        </w:rPr>
        <w:t>c</w:t>
      </w:r>
      <w:r w:rsidR="008C3B31">
        <w:rPr>
          <w:rFonts w:ascii="Times New Roman" w:hAnsi="Times New Roman" w:cs="Times New Roman"/>
          <w:sz w:val="24"/>
          <w:szCs w:val="24"/>
          <w:lang w:val="ro-RO"/>
        </w:rPr>
        <w:t xml:space="preserve">rații tinere să </w:t>
      </w:r>
      <w:r w:rsidR="000B4D3C">
        <w:rPr>
          <w:rFonts w:ascii="Times New Roman" w:hAnsi="Times New Roman" w:cs="Times New Roman"/>
          <w:sz w:val="24"/>
          <w:szCs w:val="24"/>
          <w:lang w:val="ro-RO"/>
        </w:rPr>
        <w:t>nu respecte recomand</w:t>
      </w:r>
      <w:r w:rsidR="00EF2ACF">
        <w:rPr>
          <w:rFonts w:ascii="Times New Roman" w:hAnsi="Times New Roman" w:cs="Times New Roman"/>
          <w:sz w:val="24"/>
          <w:szCs w:val="24"/>
          <w:lang w:val="ro-RO"/>
        </w:rPr>
        <w:t>ă</w:t>
      </w:r>
      <w:r w:rsidR="000B4D3C">
        <w:rPr>
          <w:rFonts w:ascii="Times New Roman" w:hAnsi="Times New Roman" w:cs="Times New Roman"/>
          <w:sz w:val="24"/>
          <w:szCs w:val="24"/>
          <w:lang w:val="ro-RO"/>
        </w:rPr>
        <w:t xml:space="preserve">rile unei </w:t>
      </w:r>
      <w:r w:rsidR="00EF2ACF">
        <w:rPr>
          <w:rFonts w:ascii="Times New Roman" w:hAnsi="Times New Roman" w:cs="Times New Roman"/>
          <w:sz w:val="24"/>
          <w:szCs w:val="24"/>
          <w:lang w:val="ro-RO"/>
        </w:rPr>
        <w:t>instituții</w:t>
      </w:r>
      <w:r w:rsidR="000B4D3C">
        <w:rPr>
          <w:rFonts w:ascii="Times New Roman" w:hAnsi="Times New Roman" w:cs="Times New Roman"/>
          <w:sz w:val="24"/>
          <w:szCs w:val="24"/>
          <w:lang w:val="ro-RO"/>
        </w:rPr>
        <w:t xml:space="preserve"> internațioan</w:t>
      </w:r>
      <w:r w:rsidR="009308FA">
        <w:rPr>
          <w:rFonts w:ascii="Times New Roman" w:hAnsi="Times New Roman" w:cs="Times New Roman"/>
          <w:sz w:val="24"/>
          <w:szCs w:val="24"/>
          <w:lang w:val="ro-RO"/>
        </w:rPr>
        <w:t>a</w:t>
      </w:r>
      <w:r w:rsidR="000B4D3C">
        <w:rPr>
          <w:rFonts w:ascii="Times New Roman" w:hAnsi="Times New Roman" w:cs="Times New Roman"/>
          <w:sz w:val="24"/>
          <w:szCs w:val="24"/>
          <w:lang w:val="ro-RO"/>
        </w:rPr>
        <w:t xml:space="preserve">le cu expertiză. </w:t>
      </w:r>
    </w:p>
    <w:p w:rsidR="00377B25" w:rsidRDefault="000B4D3C" w:rsidP="00377B25">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Al doilea argument în favoarea sc</w:t>
      </w:r>
      <w:r w:rsidR="00B35D6E">
        <w:rPr>
          <w:rFonts w:ascii="Times New Roman" w:hAnsi="Times New Roman" w:cs="Times New Roman"/>
          <w:sz w:val="24"/>
          <w:szCs w:val="24"/>
          <w:lang w:val="ro-RO"/>
        </w:rPr>
        <w:t>ă</w:t>
      </w:r>
      <w:r>
        <w:rPr>
          <w:rFonts w:ascii="Times New Roman" w:hAnsi="Times New Roman" w:cs="Times New Roman"/>
          <w:sz w:val="24"/>
          <w:szCs w:val="24"/>
          <w:lang w:val="ro-RO"/>
        </w:rPr>
        <w:t>derii num</w:t>
      </w:r>
      <w:r w:rsidR="00B35D6E">
        <w:rPr>
          <w:rFonts w:ascii="Times New Roman" w:hAnsi="Times New Roman" w:cs="Times New Roman"/>
          <w:sz w:val="24"/>
          <w:szCs w:val="24"/>
          <w:lang w:val="ro-RO"/>
        </w:rPr>
        <w:t>ă</w:t>
      </w:r>
      <w:r>
        <w:rPr>
          <w:rFonts w:ascii="Times New Roman" w:hAnsi="Times New Roman" w:cs="Times New Roman"/>
          <w:sz w:val="24"/>
          <w:szCs w:val="24"/>
          <w:lang w:val="ro-RO"/>
        </w:rPr>
        <w:t>rului de</w:t>
      </w:r>
      <w:r w:rsidR="009308FA">
        <w:rPr>
          <w:rFonts w:ascii="Times New Roman" w:hAnsi="Times New Roman" w:cs="Times New Roman"/>
          <w:sz w:val="24"/>
          <w:szCs w:val="24"/>
          <w:lang w:val="ro-RO"/>
        </w:rPr>
        <w:t xml:space="preserve"> semnături</w:t>
      </w:r>
      <w:r>
        <w:rPr>
          <w:rFonts w:ascii="Times New Roman" w:hAnsi="Times New Roman" w:cs="Times New Roman"/>
          <w:sz w:val="24"/>
          <w:szCs w:val="24"/>
          <w:lang w:val="ro-RO"/>
        </w:rPr>
        <w:t xml:space="preserve"> se referă la dreptul cet</w:t>
      </w:r>
      <w:r w:rsidR="000B37D5">
        <w:rPr>
          <w:rFonts w:ascii="Times New Roman" w:hAnsi="Times New Roman" w:cs="Times New Roman"/>
          <w:sz w:val="24"/>
          <w:szCs w:val="24"/>
          <w:lang w:val="ro-RO"/>
        </w:rPr>
        <w:t>ă</w:t>
      </w:r>
      <w:r>
        <w:rPr>
          <w:rFonts w:ascii="Times New Roman" w:hAnsi="Times New Roman" w:cs="Times New Roman"/>
          <w:sz w:val="24"/>
          <w:szCs w:val="24"/>
          <w:lang w:val="ro-RO"/>
        </w:rPr>
        <w:t>ț</w:t>
      </w:r>
      <w:r w:rsidR="009308FA">
        <w:rPr>
          <w:rFonts w:ascii="Times New Roman" w:hAnsi="Times New Roman" w:cs="Times New Roman"/>
          <w:sz w:val="24"/>
          <w:szCs w:val="24"/>
          <w:lang w:val="ro-RO"/>
        </w:rPr>
        <w:t>enilor de a candida, care cu sigu</w:t>
      </w:r>
      <w:r w:rsidR="000B37D5">
        <w:rPr>
          <w:rFonts w:ascii="Times New Roman" w:hAnsi="Times New Roman" w:cs="Times New Roman"/>
          <w:sz w:val="24"/>
          <w:szCs w:val="24"/>
          <w:lang w:val="ro-RO"/>
        </w:rPr>
        <w:t xml:space="preserve">ranță suferă obstacole majore atâta vreme cât </w:t>
      </w:r>
      <w:r w:rsidR="009308FA">
        <w:rPr>
          <w:rFonts w:ascii="Times New Roman" w:hAnsi="Times New Roman" w:cs="Times New Roman"/>
          <w:sz w:val="24"/>
          <w:szCs w:val="24"/>
          <w:lang w:val="ro-RO"/>
        </w:rPr>
        <w:t>de</w:t>
      </w:r>
      <w:r w:rsidR="000B37D5">
        <w:rPr>
          <w:rFonts w:ascii="Times New Roman" w:hAnsi="Times New Roman" w:cs="Times New Roman"/>
          <w:sz w:val="24"/>
          <w:szCs w:val="24"/>
          <w:lang w:val="ro-RO"/>
        </w:rPr>
        <w:t xml:space="preserve"> semnături necesare pentru înscrirea este aproape i</w:t>
      </w:r>
      <w:r w:rsidR="009308FA">
        <w:rPr>
          <w:rFonts w:ascii="Times New Roman" w:hAnsi="Times New Roman" w:cs="Times New Roman"/>
          <w:sz w:val="24"/>
          <w:szCs w:val="24"/>
          <w:lang w:val="ro-RO"/>
        </w:rPr>
        <w:t xml:space="preserve">dentic cu cel necesar trecerii pragului </w:t>
      </w:r>
      <w:r w:rsidR="000B37D5">
        <w:rPr>
          <w:rFonts w:ascii="Times New Roman" w:hAnsi="Times New Roman" w:cs="Times New Roman"/>
          <w:sz w:val="24"/>
          <w:szCs w:val="24"/>
          <w:lang w:val="ro-RO"/>
        </w:rPr>
        <w:t>electoral</w:t>
      </w:r>
      <w:r w:rsidR="009308FA">
        <w:rPr>
          <w:rFonts w:ascii="Times New Roman" w:hAnsi="Times New Roman" w:cs="Times New Roman"/>
          <w:sz w:val="24"/>
          <w:szCs w:val="24"/>
          <w:lang w:val="ro-RO"/>
        </w:rPr>
        <w:t xml:space="preserve"> impus</w:t>
      </w:r>
      <w:r w:rsidR="000B37D5">
        <w:rPr>
          <w:rFonts w:ascii="Times New Roman" w:hAnsi="Times New Roman" w:cs="Times New Roman"/>
          <w:sz w:val="24"/>
          <w:szCs w:val="24"/>
          <w:lang w:val="ro-RO"/>
        </w:rPr>
        <w:t>. Ca</w:t>
      </w:r>
      <w:r w:rsidR="009308FA">
        <w:rPr>
          <w:rFonts w:ascii="Times New Roman" w:hAnsi="Times New Roman" w:cs="Times New Roman"/>
          <w:sz w:val="24"/>
          <w:szCs w:val="24"/>
          <w:lang w:val="ro-RO"/>
        </w:rPr>
        <w:t>ndidatura nu este ceva la îndem</w:t>
      </w:r>
      <w:r w:rsidR="000B37D5">
        <w:rPr>
          <w:rFonts w:ascii="Times New Roman" w:hAnsi="Times New Roman" w:cs="Times New Roman"/>
          <w:sz w:val="24"/>
          <w:szCs w:val="24"/>
          <w:lang w:val="ro-RO"/>
        </w:rPr>
        <w:t>âna oric</w:t>
      </w:r>
      <w:r w:rsidR="009308FA">
        <w:rPr>
          <w:rFonts w:ascii="Times New Roman" w:hAnsi="Times New Roman" w:cs="Times New Roman"/>
          <w:sz w:val="24"/>
          <w:szCs w:val="24"/>
          <w:lang w:val="ro-RO"/>
        </w:rPr>
        <w:t xml:space="preserve">ărui </w:t>
      </w:r>
      <w:r w:rsidR="000B37D5">
        <w:rPr>
          <w:rFonts w:ascii="Times New Roman" w:hAnsi="Times New Roman" w:cs="Times New Roman"/>
          <w:sz w:val="24"/>
          <w:szCs w:val="24"/>
          <w:lang w:val="ro-RO"/>
        </w:rPr>
        <w:t>cet</w:t>
      </w:r>
      <w:r w:rsidR="009308FA">
        <w:rPr>
          <w:rFonts w:ascii="Times New Roman" w:hAnsi="Times New Roman" w:cs="Times New Roman"/>
          <w:sz w:val="24"/>
          <w:szCs w:val="24"/>
          <w:lang w:val="ro-RO"/>
        </w:rPr>
        <w:t>ă</w:t>
      </w:r>
      <w:r w:rsidR="000B37D5">
        <w:rPr>
          <w:rFonts w:ascii="Times New Roman" w:hAnsi="Times New Roman" w:cs="Times New Roman"/>
          <w:sz w:val="24"/>
          <w:szCs w:val="24"/>
          <w:lang w:val="ro-RO"/>
        </w:rPr>
        <w:t xml:space="preserve">țean care </w:t>
      </w:r>
      <w:r w:rsidR="009349C5">
        <w:rPr>
          <w:rFonts w:ascii="Times New Roman" w:hAnsi="Times New Roman" w:cs="Times New Roman"/>
          <w:sz w:val="24"/>
          <w:szCs w:val="24"/>
          <w:lang w:val="ro-RO"/>
        </w:rPr>
        <w:t>vrea s</w:t>
      </w:r>
      <w:r w:rsidR="009308FA">
        <w:rPr>
          <w:rFonts w:ascii="Times New Roman" w:hAnsi="Times New Roman" w:cs="Times New Roman"/>
          <w:sz w:val="24"/>
          <w:szCs w:val="24"/>
          <w:lang w:val="ro-RO"/>
        </w:rPr>
        <w:t>ă</w:t>
      </w:r>
      <w:r w:rsidR="009349C5">
        <w:rPr>
          <w:rFonts w:ascii="Times New Roman" w:hAnsi="Times New Roman" w:cs="Times New Roman"/>
          <w:sz w:val="24"/>
          <w:szCs w:val="24"/>
          <w:lang w:val="ro-RO"/>
        </w:rPr>
        <w:t xml:space="preserve"> participe la procesul democratic ca re</w:t>
      </w:r>
      <w:r w:rsidR="0074130E">
        <w:rPr>
          <w:rFonts w:ascii="Times New Roman" w:hAnsi="Times New Roman" w:cs="Times New Roman"/>
          <w:sz w:val="24"/>
          <w:szCs w:val="24"/>
          <w:lang w:val="ro-RO"/>
        </w:rPr>
        <w:t>prezentant</w:t>
      </w:r>
      <w:r w:rsidR="009349C5">
        <w:rPr>
          <w:rFonts w:ascii="Times New Roman" w:hAnsi="Times New Roman" w:cs="Times New Roman"/>
          <w:sz w:val="24"/>
          <w:szCs w:val="24"/>
          <w:lang w:val="ro-RO"/>
        </w:rPr>
        <w:t xml:space="preserve">. </w:t>
      </w:r>
      <w:r w:rsidR="00B35D6E">
        <w:rPr>
          <w:rFonts w:ascii="Times New Roman" w:hAnsi="Times New Roman" w:cs="Times New Roman"/>
          <w:sz w:val="24"/>
          <w:szCs w:val="24"/>
          <w:lang w:val="ro-RO"/>
        </w:rPr>
        <w:t>Așa cum am arătat</w:t>
      </w:r>
      <w:r w:rsidR="0074130E">
        <w:rPr>
          <w:rFonts w:ascii="Times New Roman" w:hAnsi="Times New Roman" w:cs="Times New Roman"/>
          <w:sz w:val="24"/>
          <w:szCs w:val="24"/>
          <w:lang w:val="ro-RO"/>
        </w:rPr>
        <w:t xml:space="preserve"> în partea de început</w:t>
      </w:r>
      <w:r w:rsidR="00B35D6E">
        <w:rPr>
          <w:rFonts w:ascii="Times New Roman" w:hAnsi="Times New Roman" w:cs="Times New Roman"/>
          <w:sz w:val="24"/>
          <w:szCs w:val="24"/>
          <w:lang w:val="ro-RO"/>
        </w:rPr>
        <w:t xml:space="preserve">, cercetătorii </w:t>
      </w:r>
      <w:r w:rsidR="009349C5">
        <w:rPr>
          <w:rFonts w:ascii="Times New Roman" w:hAnsi="Times New Roman" w:cs="Times New Roman"/>
          <w:sz w:val="24"/>
          <w:szCs w:val="24"/>
          <w:lang w:val="ro-RO"/>
        </w:rPr>
        <w:t xml:space="preserve">au demonstrat </w:t>
      </w:r>
      <w:r w:rsidR="00B35D6E">
        <w:rPr>
          <w:rFonts w:ascii="Times New Roman" w:hAnsi="Times New Roman" w:cs="Times New Roman"/>
          <w:sz w:val="24"/>
          <w:szCs w:val="24"/>
          <w:lang w:val="ro-RO"/>
        </w:rPr>
        <w:t>că semnăturile pot constitui un real obstacol în calea participă</w:t>
      </w:r>
      <w:r w:rsidR="001439FE">
        <w:rPr>
          <w:rFonts w:ascii="Times New Roman" w:hAnsi="Times New Roman" w:cs="Times New Roman"/>
          <w:sz w:val="24"/>
          <w:szCs w:val="24"/>
          <w:lang w:val="ro-RO"/>
        </w:rPr>
        <w:t>rii politice, stând în calea form</w:t>
      </w:r>
      <w:r w:rsidR="0074130E">
        <w:rPr>
          <w:rFonts w:ascii="Times New Roman" w:hAnsi="Times New Roman" w:cs="Times New Roman"/>
          <w:sz w:val="24"/>
          <w:szCs w:val="24"/>
          <w:lang w:val="ro-RO"/>
        </w:rPr>
        <w:t>ă</w:t>
      </w:r>
      <w:r w:rsidR="001439FE">
        <w:rPr>
          <w:rFonts w:ascii="Times New Roman" w:hAnsi="Times New Roman" w:cs="Times New Roman"/>
          <w:sz w:val="24"/>
          <w:szCs w:val="24"/>
          <w:lang w:val="ro-RO"/>
        </w:rPr>
        <w:t xml:space="preserve">rii </w:t>
      </w:r>
      <w:r w:rsidR="00431367">
        <w:rPr>
          <w:rFonts w:ascii="Times New Roman" w:hAnsi="Times New Roman" w:cs="Times New Roman"/>
          <w:sz w:val="24"/>
          <w:szCs w:val="24"/>
          <w:lang w:val="ro-RO"/>
        </w:rPr>
        <w:t xml:space="preserve">de </w:t>
      </w:r>
      <w:r w:rsidR="001439FE">
        <w:rPr>
          <w:rFonts w:ascii="Times New Roman" w:hAnsi="Times New Roman" w:cs="Times New Roman"/>
          <w:sz w:val="24"/>
          <w:szCs w:val="24"/>
          <w:lang w:val="ro-RO"/>
        </w:rPr>
        <w:t>departide noi.</w:t>
      </w:r>
      <w:r w:rsidR="00377B25">
        <w:rPr>
          <w:rFonts w:ascii="Times New Roman" w:hAnsi="Times New Roman" w:cs="Times New Roman"/>
          <w:sz w:val="24"/>
          <w:szCs w:val="24"/>
          <w:lang w:val="ro-RO"/>
        </w:rPr>
        <w:t xml:space="preserve"> Un număr mai mic de s</w:t>
      </w:r>
      <w:r w:rsidR="0074130E">
        <w:rPr>
          <w:rFonts w:ascii="Times New Roman" w:hAnsi="Times New Roman" w:cs="Times New Roman"/>
          <w:sz w:val="24"/>
          <w:szCs w:val="24"/>
          <w:lang w:val="ro-RO"/>
        </w:rPr>
        <w:t>e</w:t>
      </w:r>
      <w:r w:rsidR="00377B25">
        <w:rPr>
          <w:rFonts w:ascii="Times New Roman" w:hAnsi="Times New Roman" w:cs="Times New Roman"/>
          <w:sz w:val="24"/>
          <w:szCs w:val="24"/>
          <w:lang w:val="ro-RO"/>
        </w:rPr>
        <w:t>mnătur</w:t>
      </w:r>
      <w:r w:rsidR="0074130E">
        <w:rPr>
          <w:rFonts w:ascii="Times New Roman" w:hAnsi="Times New Roman" w:cs="Times New Roman"/>
          <w:sz w:val="24"/>
          <w:szCs w:val="24"/>
          <w:lang w:val="ro-RO"/>
        </w:rPr>
        <w:t>i</w:t>
      </w:r>
      <w:r w:rsidR="00377B25">
        <w:rPr>
          <w:rFonts w:ascii="Times New Roman" w:hAnsi="Times New Roman" w:cs="Times New Roman"/>
          <w:sz w:val="24"/>
          <w:szCs w:val="24"/>
          <w:lang w:val="ro-RO"/>
        </w:rPr>
        <w:t xml:space="preserve"> sau renunțarea la semnături pentru un depozit în bani rambursabil pare o opțiune mult mai bună pentru a încuraja formarea de noi partide de înoire a peisajului pol</w:t>
      </w:r>
      <w:r w:rsidR="0074130E">
        <w:rPr>
          <w:rFonts w:ascii="Times New Roman" w:hAnsi="Times New Roman" w:cs="Times New Roman"/>
          <w:sz w:val="24"/>
          <w:szCs w:val="24"/>
          <w:lang w:val="ro-RO"/>
        </w:rPr>
        <w:t>itic româ</w:t>
      </w:r>
      <w:r w:rsidR="00377B25">
        <w:rPr>
          <w:rFonts w:ascii="Times New Roman" w:hAnsi="Times New Roman" w:cs="Times New Roman"/>
          <w:sz w:val="24"/>
          <w:szCs w:val="24"/>
          <w:lang w:val="ro-RO"/>
        </w:rPr>
        <w:t>nesc, u</w:t>
      </w:r>
      <w:r w:rsidR="0074130E">
        <w:rPr>
          <w:rFonts w:ascii="Times New Roman" w:hAnsi="Times New Roman" w:cs="Times New Roman"/>
          <w:sz w:val="24"/>
          <w:szCs w:val="24"/>
          <w:lang w:val="ro-RO"/>
        </w:rPr>
        <w:t xml:space="preserve">n deziderat </w:t>
      </w:r>
      <w:r w:rsidR="00377B25">
        <w:rPr>
          <w:rFonts w:ascii="Times New Roman" w:hAnsi="Times New Roman" w:cs="Times New Roman"/>
          <w:sz w:val="24"/>
          <w:szCs w:val="24"/>
          <w:lang w:val="ro-RO"/>
        </w:rPr>
        <w:t xml:space="preserve"> al cetățenilor polisului</w:t>
      </w:r>
      <w:r w:rsidR="0074130E">
        <w:rPr>
          <w:rFonts w:ascii="Times New Roman" w:hAnsi="Times New Roman" w:cs="Times New Roman"/>
          <w:sz w:val="24"/>
          <w:szCs w:val="24"/>
          <w:lang w:val="ro-RO"/>
        </w:rPr>
        <w:t xml:space="preserve"> românesc </w:t>
      </w:r>
      <w:r w:rsidR="00377B25">
        <w:rPr>
          <w:rFonts w:ascii="Times New Roman" w:hAnsi="Times New Roman" w:cs="Times New Roman"/>
          <w:sz w:val="24"/>
          <w:szCs w:val="24"/>
          <w:lang w:val="ro-RO"/>
        </w:rPr>
        <w:t>de multă vreme</w:t>
      </w:r>
      <w:r w:rsidR="0074130E">
        <w:rPr>
          <w:rFonts w:ascii="Times New Roman" w:hAnsi="Times New Roman" w:cs="Times New Roman"/>
          <w:sz w:val="24"/>
          <w:szCs w:val="24"/>
          <w:lang w:val="ro-RO"/>
        </w:rPr>
        <w:t>.</w:t>
      </w:r>
    </w:p>
    <w:p w:rsidR="003B0470" w:rsidRDefault="00431367" w:rsidP="000B4D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Al treilea argument se refer</w:t>
      </w:r>
      <w:r w:rsidR="0074130E">
        <w:rPr>
          <w:rFonts w:ascii="Times New Roman" w:hAnsi="Times New Roman" w:cs="Times New Roman"/>
          <w:sz w:val="24"/>
          <w:szCs w:val="24"/>
          <w:lang w:val="ro-RO"/>
        </w:rPr>
        <w:t>ă la</w:t>
      </w:r>
      <w:r w:rsidR="00305A70">
        <w:rPr>
          <w:rFonts w:ascii="Times New Roman" w:hAnsi="Times New Roman" w:cs="Times New Roman"/>
          <w:sz w:val="24"/>
          <w:szCs w:val="24"/>
          <w:lang w:val="ro-RO"/>
        </w:rPr>
        <w:t xml:space="preserve"> cum ca</w:t>
      </w:r>
      <w:r w:rsidR="0074130E">
        <w:rPr>
          <w:rFonts w:ascii="Times New Roman" w:hAnsi="Times New Roman" w:cs="Times New Roman"/>
          <w:sz w:val="24"/>
          <w:szCs w:val="24"/>
          <w:lang w:val="ro-RO"/>
        </w:rPr>
        <w:t>m</w:t>
      </w:r>
      <w:r w:rsidR="00305A70">
        <w:rPr>
          <w:rFonts w:ascii="Times New Roman" w:hAnsi="Times New Roman" w:cs="Times New Roman"/>
          <w:sz w:val="24"/>
          <w:szCs w:val="24"/>
          <w:lang w:val="ro-RO"/>
        </w:rPr>
        <w:t>pania electorală devine desu</w:t>
      </w:r>
      <w:r w:rsidR="0074130E">
        <w:rPr>
          <w:rFonts w:ascii="Times New Roman" w:hAnsi="Times New Roman" w:cs="Times New Roman"/>
          <w:sz w:val="24"/>
          <w:szCs w:val="24"/>
          <w:lang w:val="ro-RO"/>
        </w:rPr>
        <w:t>e</w:t>
      </w:r>
      <w:r w:rsidR="00305A70">
        <w:rPr>
          <w:rFonts w:ascii="Times New Roman" w:hAnsi="Times New Roman" w:cs="Times New Roman"/>
          <w:sz w:val="24"/>
          <w:szCs w:val="24"/>
          <w:lang w:val="ro-RO"/>
        </w:rPr>
        <w:t>tă, dacă partide</w:t>
      </w:r>
      <w:r w:rsidR="0074130E">
        <w:rPr>
          <w:rFonts w:ascii="Times New Roman" w:hAnsi="Times New Roman" w:cs="Times New Roman"/>
          <w:sz w:val="24"/>
          <w:szCs w:val="24"/>
          <w:lang w:val="ro-RO"/>
        </w:rPr>
        <w:t>le sunt nevoite să î</w:t>
      </w:r>
      <w:r w:rsidR="00305A70">
        <w:rPr>
          <w:rFonts w:ascii="Times New Roman" w:hAnsi="Times New Roman" w:cs="Times New Roman"/>
          <w:sz w:val="24"/>
          <w:szCs w:val="24"/>
          <w:lang w:val="ro-RO"/>
        </w:rPr>
        <w:t>ș</w:t>
      </w:r>
      <w:r w:rsidR="0074130E">
        <w:rPr>
          <w:rFonts w:ascii="Times New Roman" w:hAnsi="Times New Roman" w:cs="Times New Roman"/>
          <w:sz w:val="24"/>
          <w:szCs w:val="24"/>
          <w:lang w:val="ro-RO"/>
        </w:rPr>
        <w:t>i dovedească</w:t>
      </w:r>
      <w:r w:rsidR="00305A70">
        <w:rPr>
          <w:rFonts w:ascii="Times New Roman" w:hAnsi="Times New Roman" w:cs="Times New Roman"/>
          <w:sz w:val="24"/>
          <w:szCs w:val="24"/>
          <w:lang w:val="ro-RO"/>
        </w:rPr>
        <w:t xml:space="preserve"> performanța politică afara de cadrul instituț</w:t>
      </w:r>
      <w:r w:rsidR="0007296F">
        <w:rPr>
          <w:rFonts w:ascii="Times New Roman" w:hAnsi="Times New Roman" w:cs="Times New Roman"/>
          <w:sz w:val="24"/>
          <w:szCs w:val="24"/>
          <w:lang w:val="ro-RO"/>
        </w:rPr>
        <w:t>ional st</w:t>
      </w:r>
      <w:r w:rsidR="0074130E">
        <w:rPr>
          <w:rFonts w:ascii="Times New Roman" w:hAnsi="Times New Roman" w:cs="Times New Roman"/>
          <w:sz w:val="24"/>
          <w:szCs w:val="24"/>
          <w:lang w:val="ro-RO"/>
        </w:rPr>
        <w:t xml:space="preserve">abilit.Așa </w:t>
      </w:r>
      <w:r w:rsidR="0074130E">
        <w:rPr>
          <w:rFonts w:ascii="Times New Roman" w:hAnsi="Times New Roman" w:cs="Times New Roman"/>
          <w:sz w:val="24"/>
          <w:szCs w:val="24"/>
          <w:lang w:val="ro-RO"/>
        </w:rPr>
        <w:lastRenderedPageBreak/>
        <w:t>cum am mai spus într-</w:t>
      </w:r>
      <w:r w:rsidR="0007296F">
        <w:rPr>
          <w:rFonts w:ascii="Times New Roman" w:hAnsi="Times New Roman" w:cs="Times New Roman"/>
          <w:sz w:val="24"/>
          <w:szCs w:val="24"/>
          <w:lang w:val="ro-RO"/>
        </w:rPr>
        <w:t>un subcapitol anterior, partidele depun un efort mar</w:t>
      </w:r>
      <w:r w:rsidR="0074130E">
        <w:rPr>
          <w:rFonts w:ascii="Times New Roman" w:hAnsi="Times New Roman" w:cs="Times New Roman"/>
          <w:sz w:val="24"/>
          <w:szCs w:val="24"/>
          <w:lang w:val="ro-RO"/>
        </w:rPr>
        <w:t>e pentru a strâ</w:t>
      </w:r>
      <w:r w:rsidR="0007296F">
        <w:rPr>
          <w:rFonts w:ascii="Times New Roman" w:hAnsi="Times New Roman" w:cs="Times New Roman"/>
          <w:sz w:val="24"/>
          <w:szCs w:val="24"/>
          <w:lang w:val="ro-RO"/>
        </w:rPr>
        <w:t>nge acest număr mar de smenături și cheltuie resurse financiare și logistice care ar putea fi folosite altfe</w:t>
      </w:r>
    </w:p>
    <w:p w:rsidR="003B0470" w:rsidRPr="00D83E86" w:rsidRDefault="00D82BDD" w:rsidP="000B4D3C">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rPr>
        <w:t>Al patrulea motiv constă în fapt</w:t>
      </w:r>
      <w:r w:rsidR="00D83E86">
        <w:rPr>
          <w:rFonts w:ascii="Times New Roman" w:hAnsi="Times New Roman" w:cs="Times New Roman"/>
          <w:sz w:val="24"/>
          <w:szCs w:val="24"/>
        </w:rPr>
        <w:t>ul c</w:t>
      </w:r>
      <w:r>
        <w:rPr>
          <w:rFonts w:ascii="Times New Roman" w:hAnsi="Times New Roman" w:cs="Times New Roman"/>
          <w:sz w:val="24"/>
          <w:szCs w:val="24"/>
          <w:lang w:val="ro-RO"/>
        </w:rPr>
        <w:t>ă R</w:t>
      </w:r>
      <w:r w:rsidR="00D83E86">
        <w:rPr>
          <w:rFonts w:ascii="Times New Roman" w:hAnsi="Times New Roman" w:cs="Times New Roman"/>
          <w:sz w:val="24"/>
          <w:szCs w:val="24"/>
          <w:lang w:val="ro-RO"/>
        </w:rPr>
        <w:t>omânia contrânge candida</w:t>
      </w:r>
      <w:r>
        <w:rPr>
          <w:rFonts w:ascii="Times New Roman" w:hAnsi="Times New Roman" w:cs="Times New Roman"/>
          <w:sz w:val="24"/>
          <w:szCs w:val="24"/>
          <w:lang w:val="ro-RO"/>
        </w:rPr>
        <w:t>ț</w:t>
      </w:r>
      <w:r w:rsidR="00D83E86">
        <w:rPr>
          <w:rFonts w:ascii="Times New Roman" w:hAnsi="Times New Roman" w:cs="Times New Roman"/>
          <w:sz w:val="24"/>
          <w:szCs w:val="24"/>
          <w:lang w:val="ro-RO"/>
        </w:rPr>
        <w:t>ii pent</w:t>
      </w:r>
      <w:r>
        <w:rPr>
          <w:rFonts w:ascii="Times New Roman" w:hAnsi="Times New Roman" w:cs="Times New Roman"/>
          <w:sz w:val="24"/>
          <w:szCs w:val="24"/>
          <w:lang w:val="ro-RO"/>
        </w:rPr>
        <w:t>ru PE să colecteze cele mai multe</w:t>
      </w:r>
      <w:r w:rsidR="00D83E86">
        <w:rPr>
          <w:rFonts w:ascii="Times New Roman" w:hAnsi="Times New Roman" w:cs="Times New Roman"/>
          <w:sz w:val="24"/>
          <w:szCs w:val="24"/>
          <w:lang w:val="ro-RO"/>
        </w:rPr>
        <w:t xml:space="preserve"> semnături din UE, alături de Danemarca. </w:t>
      </w:r>
      <w:r>
        <w:rPr>
          <w:rFonts w:ascii="Times New Roman" w:hAnsi="Times New Roman" w:cs="Times New Roman"/>
          <w:sz w:val="24"/>
          <w:szCs w:val="24"/>
          <w:lang w:val="ro-RO"/>
        </w:rPr>
        <w:t>România solicit</w:t>
      </w:r>
      <w:r w:rsidR="008B6958">
        <w:rPr>
          <w:rFonts w:ascii="Times New Roman" w:hAnsi="Times New Roman" w:cs="Times New Roman"/>
          <w:sz w:val="24"/>
          <w:szCs w:val="24"/>
          <w:lang w:val="ro-RO"/>
        </w:rPr>
        <w:t>ă de aproximativ 15 ori mai multe</w:t>
      </w:r>
      <w:r>
        <w:rPr>
          <w:rFonts w:ascii="Times New Roman" w:hAnsi="Times New Roman" w:cs="Times New Roman"/>
          <w:sz w:val="24"/>
          <w:szCs w:val="24"/>
          <w:lang w:val="ro-RO"/>
        </w:rPr>
        <w:t xml:space="preserve"> semnături decât media european</w:t>
      </w:r>
      <w:r w:rsidR="008B6958">
        <w:rPr>
          <w:rFonts w:ascii="Times New Roman" w:hAnsi="Times New Roman" w:cs="Times New Roman"/>
          <w:sz w:val="24"/>
          <w:szCs w:val="24"/>
          <w:lang w:val="ro-RO"/>
        </w:rPr>
        <w:t>ă</w:t>
      </w:r>
      <w:r>
        <w:rPr>
          <w:rFonts w:ascii="Times New Roman" w:hAnsi="Times New Roman" w:cs="Times New Roman"/>
          <w:sz w:val="24"/>
          <w:szCs w:val="24"/>
          <w:lang w:val="ro-RO"/>
        </w:rPr>
        <w:t xml:space="preserve"> și cele mai multe, nu</w:t>
      </w:r>
      <w:r w:rsidR="00D83E86">
        <w:rPr>
          <w:rFonts w:ascii="Times New Roman" w:hAnsi="Times New Roman" w:cs="Times New Roman"/>
          <w:sz w:val="24"/>
          <w:szCs w:val="24"/>
          <w:lang w:val="ro-RO"/>
        </w:rPr>
        <w:t>m</w:t>
      </w:r>
      <w:r>
        <w:rPr>
          <w:rFonts w:ascii="Times New Roman" w:hAnsi="Times New Roman" w:cs="Times New Roman"/>
          <w:sz w:val="24"/>
          <w:szCs w:val="24"/>
          <w:lang w:val="ro-RO"/>
        </w:rPr>
        <w:t>e</w:t>
      </w:r>
      <w:r w:rsidR="00D83E86">
        <w:rPr>
          <w:rFonts w:ascii="Times New Roman" w:hAnsi="Times New Roman" w:cs="Times New Roman"/>
          <w:sz w:val="24"/>
          <w:szCs w:val="24"/>
          <w:lang w:val="ro-RO"/>
        </w:rPr>
        <w:t>ric vorbind</w:t>
      </w:r>
      <w:r>
        <w:rPr>
          <w:rFonts w:ascii="Times New Roman" w:hAnsi="Times New Roman" w:cs="Times New Roman"/>
          <w:sz w:val="24"/>
          <w:szCs w:val="24"/>
          <w:lang w:val="ro-RO"/>
        </w:rPr>
        <w:t>. În plus, distanța între R</w:t>
      </w:r>
      <w:r w:rsidR="00D83E86">
        <w:rPr>
          <w:rFonts w:ascii="Times New Roman" w:hAnsi="Times New Roman" w:cs="Times New Roman"/>
          <w:sz w:val="24"/>
          <w:szCs w:val="24"/>
          <w:lang w:val="ro-RO"/>
        </w:rPr>
        <w:t>omân</w:t>
      </w:r>
      <w:r>
        <w:rPr>
          <w:rFonts w:ascii="Times New Roman" w:hAnsi="Times New Roman" w:cs="Times New Roman"/>
          <w:sz w:val="24"/>
          <w:szCs w:val="24"/>
          <w:lang w:val="ro-RO"/>
        </w:rPr>
        <w:t>ia</w:t>
      </w:r>
      <w:r w:rsidR="00D83E86">
        <w:rPr>
          <w:rFonts w:ascii="Times New Roman" w:hAnsi="Times New Roman" w:cs="Times New Roman"/>
          <w:sz w:val="24"/>
          <w:szCs w:val="24"/>
          <w:lang w:val="ro-RO"/>
        </w:rPr>
        <w:t xml:space="preserve"> și Lux</w:t>
      </w:r>
      <w:r>
        <w:rPr>
          <w:rFonts w:ascii="Times New Roman" w:hAnsi="Times New Roman" w:cs="Times New Roman"/>
          <w:sz w:val="24"/>
          <w:szCs w:val="24"/>
          <w:lang w:val="ro-RO"/>
        </w:rPr>
        <w:t>emburg</w:t>
      </w:r>
      <w:r w:rsidR="00D83E86">
        <w:rPr>
          <w:rFonts w:ascii="Times New Roman" w:hAnsi="Times New Roman" w:cs="Times New Roman"/>
          <w:sz w:val="24"/>
          <w:szCs w:val="24"/>
          <w:lang w:val="ro-RO"/>
        </w:rPr>
        <w:t xml:space="preserve"> țara cu cele facile condiții de acces la buletinul de vot </w:t>
      </w:r>
      <w:r w:rsidR="00377B25">
        <w:rPr>
          <w:rFonts w:ascii="Times New Roman" w:hAnsi="Times New Roman" w:cs="Times New Roman"/>
          <w:sz w:val="24"/>
          <w:szCs w:val="24"/>
          <w:lang w:val="ro-RO"/>
        </w:rPr>
        <w:t>este foarte mare, ca în</w:t>
      </w:r>
      <w:r w:rsidR="008B6958">
        <w:rPr>
          <w:rFonts w:ascii="Times New Roman" w:hAnsi="Times New Roman" w:cs="Times New Roman"/>
          <w:sz w:val="24"/>
          <w:szCs w:val="24"/>
          <w:lang w:val="ro-RO"/>
        </w:rPr>
        <w:t>tre 250 de semnături (există țări care nu solicită semn</w:t>
      </w:r>
      <w:r w:rsidR="001D3CB9">
        <w:rPr>
          <w:rFonts w:ascii="Times New Roman" w:hAnsi="Times New Roman" w:cs="Times New Roman"/>
          <w:sz w:val="24"/>
          <w:szCs w:val="24"/>
          <w:lang w:val="ro-RO"/>
        </w:rPr>
        <w:t>ă</w:t>
      </w:r>
      <w:r w:rsidR="008B6958">
        <w:rPr>
          <w:rFonts w:ascii="Times New Roman" w:hAnsi="Times New Roman" w:cs="Times New Roman"/>
          <w:sz w:val="24"/>
          <w:szCs w:val="24"/>
          <w:lang w:val="ro-RO"/>
        </w:rPr>
        <w:t>turi deloc, în schimb, însa solicită depozit în bani</w:t>
      </w:r>
      <w:r w:rsidR="00377B25">
        <w:rPr>
          <w:rFonts w:ascii="Times New Roman" w:hAnsi="Times New Roman" w:cs="Times New Roman"/>
          <w:sz w:val="24"/>
          <w:szCs w:val="24"/>
          <w:lang w:val="ro-RO"/>
        </w:rPr>
        <w:t>) și 200,000 de semn</w:t>
      </w:r>
      <w:r w:rsidR="001D3CB9">
        <w:rPr>
          <w:rFonts w:ascii="Times New Roman" w:hAnsi="Times New Roman" w:cs="Times New Roman"/>
          <w:sz w:val="24"/>
          <w:szCs w:val="24"/>
          <w:lang w:val="ro-RO"/>
        </w:rPr>
        <w:t xml:space="preserve">ături, </w:t>
      </w:r>
      <w:r w:rsidR="00377B25">
        <w:rPr>
          <w:rFonts w:ascii="Times New Roman" w:hAnsi="Times New Roman" w:cs="Times New Roman"/>
          <w:sz w:val="24"/>
          <w:szCs w:val="24"/>
          <w:lang w:val="ro-RO"/>
        </w:rPr>
        <w:t>o mie de ori mai mare.</w:t>
      </w:r>
      <w:r w:rsidR="001D3CB9">
        <w:rPr>
          <w:rFonts w:ascii="Times New Roman" w:hAnsi="Times New Roman" w:cs="Times New Roman"/>
          <w:sz w:val="24"/>
          <w:szCs w:val="24"/>
          <w:lang w:val="ro-RO"/>
        </w:rPr>
        <w:t xml:space="preserve"> România se află la o extremă, iar graficele reprezint</w:t>
      </w:r>
      <w:r w:rsidR="00B73B54">
        <w:rPr>
          <w:rFonts w:ascii="Times New Roman" w:hAnsi="Times New Roman" w:cs="Times New Roman"/>
          <w:sz w:val="24"/>
          <w:szCs w:val="24"/>
          <w:lang w:val="ro-RO"/>
        </w:rPr>
        <w:t>ă</w:t>
      </w:r>
      <w:r w:rsidR="001D3CB9">
        <w:rPr>
          <w:rFonts w:ascii="Times New Roman" w:hAnsi="Times New Roman" w:cs="Times New Roman"/>
          <w:sz w:val="24"/>
          <w:szCs w:val="24"/>
          <w:lang w:val="ro-RO"/>
        </w:rPr>
        <w:t xml:space="preserve"> cel mai bine vizual acest fapt. </w:t>
      </w:r>
    </w:p>
    <w:p w:rsidR="00CF140A" w:rsidRPr="009534AA" w:rsidRDefault="00521A4D" w:rsidP="00587753">
      <w:pPr>
        <w:spacing w:after="0" w:line="240" w:lineRule="auto"/>
        <w:ind w:firstLine="720"/>
        <w:jc w:val="both"/>
        <w:rPr>
          <w:rFonts w:ascii="Times New Roman" w:hAnsi="Times New Roman" w:cs="Times New Roman"/>
          <w:sz w:val="24"/>
          <w:szCs w:val="24"/>
        </w:rPr>
      </w:pPr>
      <w:r w:rsidRPr="009534AA">
        <w:rPr>
          <w:rFonts w:ascii="Times New Roman" w:hAnsi="Times New Roman" w:cs="Times New Roman"/>
          <w:sz w:val="24"/>
          <w:szCs w:val="24"/>
        </w:rPr>
        <w:t>Ultimul</w:t>
      </w:r>
      <w:r w:rsidR="001D3CB9" w:rsidRPr="009534AA">
        <w:rPr>
          <w:rFonts w:ascii="Times New Roman" w:hAnsi="Times New Roman" w:cs="Times New Roman"/>
          <w:sz w:val="24"/>
          <w:szCs w:val="24"/>
        </w:rPr>
        <w:t xml:space="preserve">, însă nu mai puțin important </w:t>
      </w:r>
      <w:r w:rsidRPr="009534AA">
        <w:rPr>
          <w:rFonts w:ascii="Times New Roman" w:hAnsi="Times New Roman" w:cs="Times New Roman"/>
          <w:sz w:val="24"/>
          <w:szCs w:val="24"/>
        </w:rPr>
        <w:t xml:space="preserve">este faptul că aceste semnături </w:t>
      </w:r>
      <w:r w:rsidR="00170506" w:rsidRPr="009534AA">
        <w:rPr>
          <w:rFonts w:ascii="Times New Roman" w:hAnsi="Times New Roman" w:cs="Times New Roman"/>
          <w:sz w:val="24"/>
          <w:szCs w:val="24"/>
        </w:rPr>
        <w:t>au dat prilej</w:t>
      </w:r>
      <w:r w:rsidR="001D3CB9" w:rsidRPr="009534AA">
        <w:rPr>
          <w:rFonts w:ascii="Times New Roman" w:hAnsi="Times New Roman" w:cs="Times New Roman"/>
          <w:sz w:val="24"/>
          <w:szCs w:val="24"/>
        </w:rPr>
        <w:t>,</w:t>
      </w:r>
      <w:r w:rsidR="00170506" w:rsidRPr="009534AA">
        <w:rPr>
          <w:rFonts w:ascii="Times New Roman" w:hAnsi="Times New Roman" w:cs="Times New Roman"/>
          <w:sz w:val="24"/>
          <w:szCs w:val="24"/>
        </w:rPr>
        <w:t xml:space="preserve"> n</w:t>
      </w:r>
      <w:r w:rsidRPr="009534AA">
        <w:rPr>
          <w:rFonts w:ascii="Times New Roman" w:hAnsi="Times New Roman" w:cs="Times New Roman"/>
          <w:sz w:val="24"/>
          <w:szCs w:val="24"/>
        </w:rPr>
        <w:t>u de puține ori</w:t>
      </w:r>
      <w:r w:rsidR="001D3CB9" w:rsidRPr="009534AA">
        <w:rPr>
          <w:rFonts w:ascii="Times New Roman" w:hAnsi="Times New Roman" w:cs="Times New Roman"/>
          <w:sz w:val="24"/>
          <w:szCs w:val="24"/>
        </w:rPr>
        <w:t>,</w:t>
      </w:r>
      <w:r w:rsidRPr="009534AA">
        <w:rPr>
          <w:rFonts w:ascii="Times New Roman" w:hAnsi="Times New Roman" w:cs="Times New Roman"/>
          <w:sz w:val="24"/>
          <w:szCs w:val="24"/>
        </w:rPr>
        <w:t xml:space="preserve"> </w:t>
      </w:r>
      <w:r w:rsidR="00170506" w:rsidRPr="009534AA">
        <w:rPr>
          <w:rFonts w:ascii="Times New Roman" w:hAnsi="Times New Roman" w:cs="Times New Roman"/>
          <w:sz w:val="24"/>
          <w:szCs w:val="24"/>
        </w:rPr>
        <w:t xml:space="preserve">de </w:t>
      </w:r>
      <w:r w:rsidR="001D3CB9" w:rsidRPr="009534AA">
        <w:rPr>
          <w:rFonts w:ascii="Times New Roman" w:hAnsi="Times New Roman" w:cs="Times New Roman"/>
          <w:sz w:val="24"/>
          <w:szCs w:val="24"/>
        </w:rPr>
        <w:t>suspiciune, fapt neconfirmat</w:t>
      </w:r>
      <w:r w:rsidR="005C3705">
        <w:rPr>
          <w:rFonts w:ascii="Times New Roman" w:hAnsi="Times New Roman" w:cs="Times New Roman"/>
          <w:sz w:val="24"/>
          <w:szCs w:val="24"/>
        </w:rPr>
        <w:t xml:space="preserve"> legal</w:t>
      </w:r>
      <w:r w:rsidR="001D3CB9" w:rsidRPr="009534AA">
        <w:rPr>
          <w:rFonts w:ascii="Times New Roman" w:hAnsi="Times New Roman" w:cs="Times New Roman"/>
          <w:sz w:val="24"/>
          <w:szCs w:val="24"/>
        </w:rPr>
        <w:t>, însă dezbaterile publice abundă de dovezi jurnalistice și dezbateri despre cum își procură candidații semnăturile. Fiind atât de multe, îi împing pe candidații doritori să falsifice semnăturile. Î</w:t>
      </w:r>
      <w:r w:rsidR="004829F0" w:rsidRPr="009534AA">
        <w:rPr>
          <w:rFonts w:ascii="Times New Roman" w:hAnsi="Times New Roman" w:cs="Times New Roman"/>
          <w:sz w:val="24"/>
          <w:szCs w:val="24"/>
        </w:rPr>
        <w:t>ns</w:t>
      </w:r>
      <w:r w:rsidR="001D3CB9" w:rsidRPr="009534AA">
        <w:rPr>
          <w:rFonts w:ascii="Times New Roman" w:hAnsi="Times New Roman" w:cs="Times New Roman"/>
          <w:sz w:val="24"/>
          <w:szCs w:val="24"/>
        </w:rPr>
        <w:t xml:space="preserve">ăși </w:t>
      </w:r>
      <w:r w:rsidR="004829F0" w:rsidRPr="009534AA">
        <w:rPr>
          <w:rFonts w:ascii="Times New Roman" w:hAnsi="Times New Roman" w:cs="Times New Roman"/>
          <w:sz w:val="24"/>
          <w:szCs w:val="24"/>
        </w:rPr>
        <w:t>stenograma dezbaterilor parlamentare privind legea pentru alegerea me</w:t>
      </w:r>
      <w:r w:rsidR="005C3705">
        <w:rPr>
          <w:rFonts w:ascii="Times New Roman" w:hAnsi="Times New Roman" w:cs="Times New Roman"/>
          <w:sz w:val="24"/>
          <w:szCs w:val="24"/>
        </w:rPr>
        <w:t>mbrilor PE</w:t>
      </w:r>
      <w:r w:rsidR="004829F0" w:rsidRPr="009534AA">
        <w:rPr>
          <w:rFonts w:ascii="Times New Roman" w:hAnsi="Times New Roman" w:cs="Times New Roman"/>
          <w:sz w:val="24"/>
          <w:szCs w:val="24"/>
        </w:rPr>
        <w:t xml:space="preserve"> îl citează pe </w:t>
      </w:r>
      <w:r w:rsidR="005C3705">
        <w:rPr>
          <w:rFonts w:ascii="Times New Roman" w:hAnsi="Times New Roman" w:cs="Times New Roman"/>
          <w:sz w:val="24"/>
          <w:szCs w:val="24"/>
        </w:rPr>
        <w:t>depu</w:t>
      </w:r>
      <w:r w:rsidR="005C3705" w:rsidRPr="009534AA">
        <w:rPr>
          <w:rFonts w:ascii="Times New Roman" w:hAnsi="Times New Roman" w:cs="Times New Roman"/>
          <w:sz w:val="24"/>
          <w:szCs w:val="24"/>
        </w:rPr>
        <w:t xml:space="preserve">tatul Petru Călian </w:t>
      </w:r>
      <w:r w:rsidR="004829F0" w:rsidRPr="009534AA">
        <w:rPr>
          <w:rFonts w:ascii="Times New Roman" w:hAnsi="Times New Roman" w:cs="Times New Roman"/>
          <w:sz w:val="24"/>
          <w:szCs w:val="24"/>
        </w:rPr>
        <w:t>cu o declarație</w:t>
      </w:r>
      <w:r w:rsidR="005C3705">
        <w:rPr>
          <w:rFonts w:ascii="Times New Roman" w:hAnsi="Times New Roman" w:cs="Times New Roman"/>
          <w:sz w:val="24"/>
          <w:szCs w:val="24"/>
        </w:rPr>
        <w:t xml:space="preserve"> </w:t>
      </w:r>
      <w:r w:rsidR="005C3705">
        <w:rPr>
          <w:rFonts w:ascii="Times New Roman" w:hAnsi="Times New Roman" w:cs="Times New Roman"/>
          <w:sz w:val="24"/>
          <w:szCs w:val="24"/>
          <w:lang w:val="ro-RO"/>
        </w:rPr>
        <w:t>în care</w:t>
      </w:r>
      <w:r w:rsidR="004829F0" w:rsidRPr="009534AA">
        <w:rPr>
          <w:rFonts w:ascii="Times New Roman" w:hAnsi="Times New Roman" w:cs="Times New Roman"/>
          <w:sz w:val="24"/>
          <w:szCs w:val="24"/>
        </w:rPr>
        <w:t xml:space="preserve"> </w:t>
      </w:r>
      <w:r w:rsidR="00CF140A" w:rsidRPr="009534AA">
        <w:rPr>
          <w:rFonts w:ascii="Times New Roman" w:hAnsi="Times New Roman" w:cs="Times New Roman"/>
          <w:sz w:val="24"/>
          <w:szCs w:val="24"/>
        </w:rPr>
        <w:t>a luat următoare pozitie</w:t>
      </w:r>
      <w:proofErr w:type="gramStart"/>
      <w:r w:rsidR="0024722B" w:rsidRPr="009534AA">
        <w:rPr>
          <w:rFonts w:ascii="Times New Roman" w:hAnsi="Times New Roman" w:cs="Times New Roman"/>
          <w:sz w:val="24"/>
          <w:szCs w:val="24"/>
        </w:rPr>
        <w:t>: ”</w:t>
      </w:r>
      <w:r w:rsidR="00CF140A" w:rsidRPr="005C3705">
        <w:rPr>
          <w:rFonts w:ascii="Times New Roman" w:hAnsi="Times New Roman" w:cs="Times New Roman"/>
          <w:sz w:val="24"/>
          <w:szCs w:val="24"/>
          <w:shd w:val="clear" w:color="auto" w:fill="F3F3F3"/>
        </w:rPr>
        <w:t>De</w:t>
      </w:r>
      <w:proofErr w:type="gramEnd"/>
      <w:r w:rsidR="00CF140A" w:rsidRPr="005C3705">
        <w:rPr>
          <w:rFonts w:ascii="Times New Roman" w:hAnsi="Times New Roman" w:cs="Times New Roman"/>
          <w:sz w:val="24"/>
          <w:szCs w:val="24"/>
          <w:shd w:val="clear" w:color="auto" w:fill="F3F3F3"/>
        </w:rPr>
        <w:t xml:space="preserve"> ce este o aberaţie</w:t>
      </w:r>
      <w:r w:rsidR="005C3705" w:rsidRPr="005C3705">
        <w:rPr>
          <w:rFonts w:ascii="Times New Roman" w:hAnsi="Times New Roman" w:cs="Times New Roman"/>
          <w:sz w:val="24"/>
          <w:szCs w:val="24"/>
          <w:shd w:val="clear" w:color="auto" w:fill="F3F3F3"/>
        </w:rPr>
        <w:t xml:space="preserve"> (e.g. numărul mare de semnături)</w:t>
      </w:r>
      <w:r w:rsidR="00CF140A" w:rsidRPr="005C3705">
        <w:rPr>
          <w:rFonts w:ascii="Times New Roman" w:hAnsi="Times New Roman" w:cs="Times New Roman"/>
          <w:sz w:val="24"/>
          <w:szCs w:val="24"/>
          <w:shd w:val="clear" w:color="auto" w:fill="F3F3F3"/>
        </w:rPr>
        <w:t>? Pentru că, în fond şi la urma urmei, partidele politice, atunci când au căpătat personalitate juridică, au adunat numărul de semnături suficiente. De ce trebuie, iarăşi, să apelăm la morţii din cimitire, să dea semnături, să susţină partidele politice? Ca să ne aflăm în treabă, pentru că aceste 200 de mii de semnături nu se justifică, din punct de vedere juridic.</w:t>
      </w:r>
    </w:p>
    <w:p w:rsidR="00057720" w:rsidRDefault="001439FE" w:rsidP="00AE18CE">
      <w:pPr>
        <w:spacing w:after="0" w:line="240" w:lineRule="auto"/>
        <w:ind w:firstLine="720"/>
        <w:jc w:val="both"/>
        <w:rPr>
          <w:rFonts w:ascii="Times New Roman" w:hAnsi="Times New Roman" w:cs="Times New Roman"/>
          <w:sz w:val="24"/>
          <w:szCs w:val="24"/>
          <w:lang w:val="ro-RO"/>
        </w:rPr>
      </w:pPr>
      <w:r w:rsidRPr="009534AA">
        <w:rPr>
          <w:rFonts w:ascii="Times New Roman" w:hAnsi="Times New Roman" w:cs="Times New Roman"/>
          <w:sz w:val="24"/>
          <w:szCs w:val="24"/>
          <w:lang w:val="ro-RO"/>
        </w:rPr>
        <w:t xml:space="preserve"> </w:t>
      </w:r>
      <w:r w:rsidR="00431367" w:rsidRPr="009534AA">
        <w:rPr>
          <w:rFonts w:ascii="Times New Roman" w:hAnsi="Times New Roman" w:cs="Times New Roman"/>
          <w:sz w:val="24"/>
          <w:szCs w:val="24"/>
        </w:rPr>
        <w:t xml:space="preserve">  </w:t>
      </w:r>
      <w:r w:rsidR="005C3705">
        <w:rPr>
          <w:rFonts w:ascii="Times New Roman" w:hAnsi="Times New Roman" w:cs="Times New Roman"/>
          <w:sz w:val="24"/>
          <w:szCs w:val="24"/>
        </w:rPr>
        <w:t>Ca urmare, g</w:t>
      </w:r>
      <w:r w:rsidR="004B16AE" w:rsidRPr="0024722B">
        <w:rPr>
          <w:rFonts w:ascii="Times New Roman" w:hAnsi="Times New Roman" w:cs="Times New Roman"/>
          <w:sz w:val="24"/>
          <w:szCs w:val="24"/>
          <w:lang w:val="ro-RO"/>
        </w:rPr>
        <w:t>ăsesc potrivit</w:t>
      </w:r>
      <w:r w:rsidR="00057720" w:rsidRPr="0024722B">
        <w:rPr>
          <w:rFonts w:ascii="Times New Roman" w:hAnsi="Times New Roman" w:cs="Times New Roman"/>
          <w:sz w:val="24"/>
          <w:szCs w:val="24"/>
          <w:lang w:val="ro-RO"/>
        </w:rPr>
        <w:t xml:space="preserve"> pentru Rom</w:t>
      </w:r>
      <w:r w:rsidR="00B2108F" w:rsidRPr="0024722B">
        <w:rPr>
          <w:rFonts w:ascii="Times New Roman" w:hAnsi="Times New Roman" w:cs="Times New Roman"/>
          <w:sz w:val="24"/>
          <w:szCs w:val="24"/>
          <w:lang w:val="ro-RO"/>
        </w:rPr>
        <w:t>ânia</w:t>
      </w:r>
      <w:r w:rsidR="004B16AE" w:rsidRPr="0024722B">
        <w:rPr>
          <w:rFonts w:ascii="Times New Roman" w:hAnsi="Times New Roman" w:cs="Times New Roman"/>
          <w:sz w:val="24"/>
          <w:szCs w:val="24"/>
          <w:lang w:val="ro-RO"/>
        </w:rPr>
        <w:t xml:space="preserve"> un model de</w:t>
      </w:r>
      <w:r w:rsidR="00B2108F" w:rsidRPr="0024722B">
        <w:rPr>
          <w:rFonts w:ascii="Times New Roman" w:hAnsi="Times New Roman" w:cs="Times New Roman"/>
          <w:sz w:val="24"/>
          <w:szCs w:val="24"/>
          <w:lang w:val="ro-RO"/>
        </w:rPr>
        <w:t xml:space="preserve"> </w:t>
      </w:r>
      <w:r w:rsidR="004B16AE" w:rsidRPr="0024722B">
        <w:rPr>
          <w:rFonts w:ascii="Times New Roman" w:hAnsi="Times New Roman" w:cs="Times New Roman"/>
          <w:sz w:val="24"/>
          <w:szCs w:val="24"/>
          <w:lang w:val="ro-RO"/>
        </w:rPr>
        <w:t xml:space="preserve">înregistrare a candidaților </w:t>
      </w:r>
      <w:r w:rsidR="00EA613E">
        <w:rPr>
          <w:rFonts w:ascii="Times New Roman" w:hAnsi="Times New Roman" w:cs="Times New Roman"/>
          <w:sz w:val="24"/>
          <w:szCs w:val="24"/>
          <w:lang w:val="ro-RO"/>
        </w:rPr>
        <w:t>care să sol</w:t>
      </w:r>
      <w:r w:rsidR="00D4249F">
        <w:rPr>
          <w:rFonts w:ascii="Times New Roman" w:hAnsi="Times New Roman" w:cs="Times New Roman"/>
          <w:sz w:val="24"/>
          <w:szCs w:val="24"/>
          <w:lang w:val="ro-RO"/>
        </w:rPr>
        <w:t xml:space="preserve">icite </w:t>
      </w:r>
      <w:r w:rsidR="00EA613E">
        <w:rPr>
          <w:rFonts w:ascii="Times New Roman" w:hAnsi="Times New Roman" w:cs="Times New Roman"/>
          <w:sz w:val="24"/>
          <w:szCs w:val="24"/>
          <w:lang w:val="ro-RO"/>
        </w:rPr>
        <w:t>mai degrabă o sumă de bani suficient de descurajanată pentru candidaț</w:t>
      </w:r>
      <w:r w:rsidR="00796E8D">
        <w:rPr>
          <w:rFonts w:ascii="Times New Roman" w:hAnsi="Times New Roman" w:cs="Times New Roman"/>
          <w:sz w:val="24"/>
          <w:szCs w:val="24"/>
          <w:lang w:val="ro-RO"/>
        </w:rPr>
        <w:t xml:space="preserve">ii frivoli, dar și </w:t>
      </w:r>
      <w:r w:rsidR="005C3705">
        <w:rPr>
          <w:rFonts w:ascii="Times New Roman" w:hAnsi="Times New Roman" w:cs="Times New Roman"/>
          <w:sz w:val="24"/>
          <w:szCs w:val="24"/>
          <w:lang w:val="ro-RO"/>
        </w:rPr>
        <w:t xml:space="preserve">suficient </w:t>
      </w:r>
      <w:r w:rsidR="00796E8D">
        <w:rPr>
          <w:rFonts w:ascii="Times New Roman" w:hAnsi="Times New Roman" w:cs="Times New Roman"/>
          <w:sz w:val="24"/>
          <w:szCs w:val="24"/>
          <w:lang w:val="ro-RO"/>
        </w:rPr>
        <w:t xml:space="preserve">de mică </w:t>
      </w:r>
      <w:r w:rsidR="005C3705">
        <w:rPr>
          <w:rFonts w:ascii="Times New Roman" w:hAnsi="Times New Roman" w:cs="Times New Roman"/>
          <w:sz w:val="24"/>
          <w:szCs w:val="24"/>
          <w:lang w:val="ro-RO"/>
        </w:rPr>
        <w:t xml:space="preserve">astfel încât să permit candidaților cu venituri medii să participe politic, </w:t>
      </w:r>
      <w:r w:rsidR="000823A7">
        <w:rPr>
          <w:rFonts w:ascii="Times New Roman" w:hAnsi="Times New Roman" w:cs="Times New Roman"/>
          <w:sz w:val="24"/>
          <w:szCs w:val="24"/>
          <w:lang w:val="ro-RO"/>
        </w:rPr>
        <w:t xml:space="preserve">spre a nu </w:t>
      </w:r>
      <w:proofErr w:type="gramStart"/>
      <w:r w:rsidR="000823A7">
        <w:rPr>
          <w:rFonts w:ascii="Times New Roman" w:hAnsi="Times New Roman" w:cs="Times New Roman"/>
          <w:sz w:val="24"/>
          <w:szCs w:val="24"/>
          <w:lang w:val="ro-RO"/>
        </w:rPr>
        <w:t>face</w:t>
      </w:r>
      <w:proofErr w:type="gramEnd"/>
      <w:r w:rsidR="000823A7">
        <w:rPr>
          <w:rFonts w:ascii="Times New Roman" w:hAnsi="Times New Roman" w:cs="Times New Roman"/>
          <w:sz w:val="24"/>
          <w:szCs w:val="24"/>
          <w:lang w:val="ro-RO"/>
        </w:rPr>
        <w:t xml:space="preserve"> din </w:t>
      </w:r>
      <w:r w:rsidR="00326336">
        <w:rPr>
          <w:rFonts w:ascii="Times New Roman" w:hAnsi="Times New Roman" w:cs="Times New Roman"/>
          <w:sz w:val="24"/>
          <w:szCs w:val="24"/>
          <w:lang w:val="ro-RO"/>
        </w:rPr>
        <w:t>dreptul de a fi ales un drept câ</w:t>
      </w:r>
      <w:r w:rsidR="000823A7">
        <w:rPr>
          <w:rFonts w:ascii="Times New Roman" w:hAnsi="Times New Roman" w:cs="Times New Roman"/>
          <w:sz w:val="24"/>
          <w:szCs w:val="24"/>
          <w:lang w:val="ro-RO"/>
        </w:rPr>
        <w:t>știgat, nu unul garantat de Constituție.</w:t>
      </w:r>
      <w:r w:rsidR="00587753">
        <w:rPr>
          <w:rFonts w:ascii="Times New Roman" w:hAnsi="Times New Roman" w:cs="Times New Roman"/>
          <w:sz w:val="24"/>
          <w:szCs w:val="24"/>
          <w:lang w:val="ro-RO"/>
        </w:rPr>
        <w:t xml:space="preserve"> </w:t>
      </w:r>
      <w:r w:rsidR="00D305B1">
        <w:rPr>
          <w:rFonts w:ascii="Times New Roman" w:hAnsi="Times New Roman" w:cs="Times New Roman"/>
          <w:sz w:val="24"/>
          <w:szCs w:val="24"/>
          <w:lang w:val="ro-RO"/>
        </w:rPr>
        <w:t xml:space="preserve">Astfel găsesc potrivit valoarea a 5 salarii medii pe economie ca depozit în bani, returnabili în cazul în care candidatul reușește să obțină cel puțin un mandat.. </w:t>
      </w:r>
      <w:r w:rsidR="00D4249F">
        <w:rPr>
          <w:rFonts w:ascii="Times New Roman" w:hAnsi="Times New Roman" w:cs="Times New Roman"/>
          <w:sz w:val="24"/>
          <w:szCs w:val="24"/>
          <w:lang w:val="ro-RO"/>
        </w:rPr>
        <w:t>De asemenea</w:t>
      </w:r>
      <w:r w:rsidR="00D305B1">
        <w:rPr>
          <w:rFonts w:ascii="Times New Roman" w:hAnsi="Times New Roman" w:cs="Times New Roman"/>
          <w:sz w:val="24"/>
          <w:szCs w:val="24"/>
          <w:lang w:val="ro-RO"/>
        </w:rPr>
        <w:t xml:space="preserve">, având în vedere </w:t>
      </w:r>
      <w:r w:rsidR="005C3705">
        <w:rPr>
          <w:rFonts w:ascii="Times New Roman" w:hAnsi="Times New Roman" w:cs="Times New Roman"/>
          <w:sz w:val="24"/>
          <w:szCs w:val="24"/>
          <w:lang w:val="ro-RO"/>
        </w:rPr>
        <w:t xml:space="preserve">umărul mic de </w:t>
      </w:r>
      <w:r w:rsidR="00D305B1">
        <w:rPr>
          <w:rFonts w:ascii="Times New Roman" w:hAnsi="Times New Roman" w:cs="Times New Roman"/>
          <w:sz w:val="24"/>
          <w:szCs w:val="24"/>
          <w:lang w:val="ro-RO"/>
        </w:rPr>
        <w:t xml:space="preserve">membri fondatori necesari pentru înregistrarea unui partid politic și pentru a nu exista riscul ca unele partide </w:t>
      </w:r>
      <w:r w:rsidR="00727CDD">
        <w:rPr>
          <w:rFonts w:ascii="Times New Roman" w:hAnsi="Times New Roman" w:cs="Times New Roman"/>
          <w:sz w:val="24"/>
          <w:szCs w:val="24"/>
          <w:lang w:val="ro-RO"/>
        </w:rPr>
        <w:t xml:space="preserve">să fie doar simple asociații de câțiva oamenii, propun ca depozitul în bani să fie însoțit de o listă de 250 de semnături ale susținătorilor candidaturii. </w:t>
      </w:r>
    </w:p>
    <w:p w:rsidR="0024722B" w:rsidRPr="0024722B" w:rsidRDefault="00484124" w:rsidP="00AE18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 asemenea, pentru candidați</w:t>
      </w:r>
      <w:r w:rsidR="0037047B">
        <w:rPr>
          <w:rFonts w:ascii="Times New Roman" w:hAnsi="Times New Roman" w:cs="Times New Roman"/>
          <w:sz w:val="24"/>
          <w:szCs w:val="24"/>
        </w:rPr>
        <w:t>i</w:t>
      </w:r>
      <w:r>
        <w:rPr>
          <w:rFonts w:ascii="Times New Roman" w:hAnsi="Times New Roman" w:cs="Times New Roman"/>
          <w:sz w:val="24"/>
          <w:szCs w:val="24"/>
        </w:rPr>
        <w:t xml:space="preserve"> independeți susțin </w:t>
      </w:r>
      <w:r w:rsidR="00B67ABF">
        <w:rPr>
          <w:rFonts w:ascii="Times New Roman" w:hAnsi="Times New Roman" w:cs="Times New Roman"/>
          <w:sz w:val="24"/>
          <w:szCs w:val="24"/>
        </w:rPr>
        <w:t xml:space="preserve">o scădere </w:t>
      </w:r>
      <w:r w:rsidR="00A20E27">
        <w:rPr>
          <w:rFonts w:ascii="Times New Roman" w:hAnsi="Times New Roman" w:cs="Times New Roman"/>
          <w:sz w:val="24"/>
          <w:szCs w:val="24"/>
        </w:rPr>
        <w:t>de la 5 s</w:t>
      </w:r>
      <w:r w:rsidR="0037047B">
        <w:rPr>
          <w:rFonts w:ascii="Times New Roman" w:hAnsi="Times New Roman" w:cs="Times New Roman"/>
          <w:sz w:val="24"/>
          <w:szCs w:val="24"/>
        </w:rPr>
        <w:t>a</w:t>
      </w:r>
      <w:r w:rsidR="00A20E27">
        <w:rPr>
          <w:rFonts w:ascii="Times New Roman" w:hAnsi="Times New Roman" w:cs="Times New Roman"/>
          <w:sz w:val="24"/>
          <w:szCs w:val="24"/>
        </w:rPr>
        <w:t>larii medii</w:t>
      </w:r>
      <w:r w:rsidR="0037047B">
        <w:rPr>
          <w:rFonts w:ascii="Times New Roman" w:hAnsi="Times New Roman" w:cs="Times New Roman"/>
          <w:sz w:val="24"/>
          <w:szCs w:val="24"/>
        </w:rPr>
        <w:t xml:space="preserve"> propuse pentru partide</w:t>
      </w:r>
      <w:r w:rsidR="00A20E27">
        <w:rPr>
          <w:rFonts w:ascii="Times New Roman" w:hAnsi="Times New Roman" w:cs="Times New Roman"/>
          <w:sz w:val="24"/>
          <w:szCs w:val="24"/>
        </w:rPr>
        <w:t xml:space="preserve"> la doar unul</w:t>
      </w:r>
      <w:r w:rsidR="00AF3FB7">
        <w:rPr>
          <w:rFonts w:ascii="Times New Roman" w:hAnsi="Times New Roman" w:cs="Times New Roman"/>
          <w:sz w:val="24"/>
          <w:szCs w:val="24"/>
        </w:rPr>
        <w:t xml:space="preserve">, însoțite de </w:t>
      </w:r>
      <w:r w:rsidR="00744826">
        <w:rPr>
          <w:rFonts w:ascii="Times New Roman" w:hAnsi="Times New Roman" w:cs="Times New Roman"/>
          <w:sz w:val="24"/>
          <w:szCs w:val="24"/>
        </w:rPr>
        <w:t>1</w:t>
      </w:r>
      <w:r w:rsidR="00A20E27">
        <w:rPr>
          <w:rFonts w:ascii="Times New Roman" w:hAnsi="Times New Roman" w:cs="Times New Roman"/>
          <w:sz w:val="24"/>
          <w:szCs w:val="24"/>
        </w:rPr>
        <w:t xml:space="preserve">50 de semnături. </w:t>
      </w:r>
    </w:p>
    <w:sectPr w:rsidR="0024722B" w:rsidRPr="0024722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E07" w:rsidRDefault="00CE4E07" w:rsidP="00D31448">
      <w:pPr>
        <w:spacing w:after="0" w:line="240" w:lineRule="auto"/>
      </w:pPr>
      <w:r>
        <w:separator/>
      </w:r>
    </w:p>
  </w:endnote>
  <w:endnote w:type="continuationSeparator" w:id="0">
    <w:p w:rsidR="00CE4E07" w:rsidRDefault="00CE4E07" w:rsidP="00D3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014272"/>
      <w:docPartObj>
        <w:docPartGallery w:val="Page Numbers (Bottom of Page)"/>
        <w:docPartUnique/>
      </w:docPartObj>
    </w:sdtPr>
    <w:sdtEndPr>
      <w:rPr>
        <w:noProof/>
      </w:rPr>
    </w:sdtEndPr>
    <w:sdtContent>
      <w:p w:rsidR="00AC5E25" w:rsidRDefault="00AC5E25">
        <w:pPr>
          <w:pStyle w:val="Footer"/>
          <w:jc w:val="center"/>
        </w:pPr>
        <w:r>
          <w:fldChar w:fldCharType="begin"/>
        </w:r>
        <w:r>
          <w:instrText xml:space="preserve"> PAGE   \* MERGEFORMAT </w:instrText>
        </w:r>
        <w:r>
          <w:fldChar w:fldCharType="separate"/>
        </w:r>
        <w:r w:rsidR="00BC55E0">
          <w:rPr>
            <w:noProof/>
          </w:rPr>
          <w:t>20</w:t>
        </w:r>
        <w:r>
          <w:rPr>
            <w:noProof/>
          </w:rPr>
          <w:fldChar w:fldCharType="end"/>
        </w:r>
      </w:p>
    </w:sdtContent>
  </w:sdt>
  <w:p w:rsidR="00AC5E25" w:rsidRDefault="00AC5E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E07" w:rsidRDefault="00CE4E07" w:rsidP="00D31448">
      <w:pPr>
        <w:spacing w:after="0" w:line="240" w:lineRule="auto"/>
      </w:pPr>
      <w:r>
        <w:separator/>
      </w:r>
    </w:p>
  </w:footnote>
  <w:footnote w:type="continuationSeparator" w:id="0">
    <w:p w:rsidR="00CE4E07" w:rsidRDefault="00CE4E07" w:rsidP="00D31448">
      <w:pPr>
        <w:spacing w:after="0" w:line="240" w:lineRule="auto"/>
      </w:pPr>
      <w:r>
        <w:continuationSeparator/>
      </w:r>
    </w:p>
  </w:footnote>
  <w:footnote w:id="1">
    <w:p w:rsidR="00AC5E25" w:rsidRPr="00646F2C" w:rsidRDefault="00AC5E25" w:rsidP="006E65E0">
      <w:pPr>
        <w:pStyle w:val="Heading1"/>
        <w:shd w:val="clear" w:color="auto" w:fill="FFFFFF"/>
        <w:spacing w:before="0" w:line="240" w:lineRule="auto"/>
        <w:rPr>
          <w:rFonts w:ascii="Times New Roman" w:hAnsi="Times New Roman" w:cs="Times New Roman"/>
          <w:sz w:val="20"/>
          <w:szCs w:val="20"/>
          <w:lang w:val="ro-RO"/>
        </w:rPr>
      </w:pPr>
      <w:r w:rsidRPr="00646F2C">
        <w:rPr>
          <w:rStyle w:val="FootnoteReference"/>
          <w:rFonts w:ascii="Times New Roman" w:hAnsi="Times New Roman" w:cs="Times New Roman"/>
          <w:sz w:val="20"/>
          <w:szCs w:val="20"/>
        </w:rPr>
        <w:footnoteRef/>
      </w:r>
      <w:r w:rsidRPr="00646F2C">
        <w:rPr>
          <w:rFonts w:ascii="Times New Roman" w:hAnsi="Times New Roman" w:cs="Times New Roman"/>
          <w:sz w:val="20"/>
          <w:szCs w:val="20"/>
        </w:rPr>
        <w:t xml:space="preserve"> </w:t>
      </w:r>
      <w:r w:rsidRPr="00646F2C">
        <w:rPr>
          <w:rFonts w:ascii="Times New Roman" w:hAnsi="Times New Roman" w:cs="Times New Roman"/>
          <w:color w:val="333333"/>
          <w:sz w:val="20"/>
          <w:szCs w:val="20"/>
        </w:rPr>
        <w:t>Stephen Ansolabehere and Alan Gerber</w:t>
      </w:r>
      <w:proofErr w:type="gramStart"/>
      <w:r w:rsidRPr="00646F2C">
        <w:rPr>
          <w:rFonts w:ascii="Times New Roman" w:hAnsi="Times New Roman" w:cs="Times New Roman"/>
          <w:color w:val="333333"/>
          <w:sz w:val="20"/>
          <w:szCs w:val="20"/>
        </w:rPr>
        <w:t xml:space="preserve">, </w:t>
      </w:r>
      <w:r>
        <w:rPr>
          <w:rFonts w:ascii="Times New Roman" w:hAnsi="Times New Roman" w:cs="Times New Roman"/>
          <w:color w:val="333333"/>
          <w:sz w:val="20"/>
          <w:szCs w:val="20"/>
        </w:rPr>
        <w:t>”</w:t>
      </w:r>
      <w:proofErr w:type="gramEnd"/>
      <w:r>
        <w:rPr>
          <w:rFonts w:ascii="Times New Roman" w:hAnsi="Times New Roman" w:cs="Times New Roman"/>
          <w:color w:val="333333"/>
          <w:sz w:val="20"/>
          <w:szCs w:val="20"/>
        </w:rPr>
        <w:t xml:space="preserve"> </w:t>
      </w:r>
      <w:r w:rsidRPr="00646F2C">
        <w:rPr>
          <w:rFonts w:ascii="Times New Roman" w:hAnsi="Times New Roman" w:cs="Times New Roman"/>
          <w:color w:val="333333"/>
          <w:sz w:val="20"/>
          <w:szCs w:val="20"/>
        </w:rPr>
        <w:t>The Effects of Filing Fees and Petition Requirements on U. S. House Elections,</w:t>
      </w:r>
      <w:r>
        <w:rPr>
          <w:rFonts w:ascii="Times New Roman" w:hAnsi="Times New Roman" w:cs="Times New Roman"/>
          <w:color w:val="333333"/>
          <w:sz w:val="20"/>
          <w:szCs w:val="20"/>
        </w:rPr>
        <w:t>”</w:t>
      </w:r>
      <w:r w:rsidRPr="00646F2C">
        <w:rPr>
          <w:rFonts w:ascii="Times New Roman" w:hAnsi="Times New Roman" w:cs="Times New Roman"/>
          <w:color w:val="333333"/>
          <w:sz w:val="20"/>
          <w:szCs w:val="20"/>
        </w:rPr>
        <w:t xml:space="preserve"> </w:t>
      </w:r>
      <w:r w:rsidRPr="00646F2C">
        <w:rPr>
          <w:rStyle w:val="HTMLCite"/>
          <w:rFonts w:ascii="Times New Roman" w:hAnsi="Times New Roman" w:cs="Times New Roman"/>
          <w:color w:val="333333"/>
          <w:sz w:val="20"/>
          <w:szCs w:val="20"/>
        </w:rPr>
        <w:t xml:space="preserve">Legislative Studies Quarterly, </w:t>
      </w:r>
      <w:r w:rsidRPr="00646F2C">
        <w:rPr>
          <w:rFonts w:ascii="Times New Roman" w:hAnsi="Times New Roman" w:cs="Times New Roman"/>
          <w:color w:val="333333"/>
          <w:sz w:val="20"/>
          <w:szCs w:val="20"/>
        </w:rPr>
        <w:t>Vol. 21, No. 2 (May, 1996), pp. 249-264</w:t>
      </w:r>
    </w:p>
  </w:footnote>
  <w:footnote w:id="2">
    <w:p w:rsidR="00AC5E25" w:rsidRPr="00646F2C" w:rsidRDefault="00AC5E25" w:rsidP="006E65E0">
      <w:pPr>
        <w:pStyle w:val="FootnoteText"/>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w:t>
      </w:r>
      <w:r w:rsidRPr="00646F2C">
        <w:rPr>
          <w:rStyle w:val="surname"/>
          <w:rFonts w:ascii="Times New Roman" w:hAnsi="Times New Roman" w:cs="Times New Roman"/>
          <w:color w:val="595959"/>
          <w:bdr w:val="none" w:sz="0" w:space="0" w:color="auto" w:frame="1"/>
          <w:shd w:val="clear" w:color="auto" w:fill="FFFFFF"/>
        </w:rPr>
        <w:t>Strattman</w:t>
      </w:r>
      <w:r w:rsidRPr="00646F2C">
        <w:rPr>
          <w:rStyle w:val="name"/>
          <w:rFonts w:ascii="Times New Roman" w:hAnsi="Times New Roman" w:cs="Times New Roman"/>
          <w:color w:val="595959"/>
          <w:bdr w:val="none" w:sz="0" w:space="0" w:color="auto" w:frame="1"/>
          <w:shd w:val="clear" w:color="auto" w:fill="FFFFFF"/>
        </w:rPr>
        <w:t>, </w:t>
      </w:r>
      <w:r w:rsidRPr="00646F2C">
        <w:rPr>
          <w:rStyle w:val="given-names"/>
          <w:rFonts w:ascii="Times New Roman" w:hAnsi="Times New Roman" w:cs="Times New Roman"/>
          <w:color w:val="595959"/>
          <w:bdr w:val="none" w:sz="0" w:space="0" w:color="auto" w:frame="1"/>
          <w:shd w:val="clear" w:color="auto" w:fill="FFFFFF"/>
        </w:rPr>
        <w:t>Thomas</w:t>
      </w:r>
      <w:r w:rsidRPr="00646F2C">
        <w:rPr>
          <w:rFonts w:ascii="Times New Roman" w:hAnsi="Times New Roman" w:cs="Times New Roman"/>
          <w:color w:val="333333"/>
          <w:shd w:val="clear" w:color="auto" w:fill="FFFFFF"/>
        </w:rPr>
        <w:t>. </w:t>
      </w:r>
      <w:r w:rsidRPr="00646F2C">
        <w:rPr>
          <w:rStyle w:val="year"/>
          <w:rFonts w:ascii="Times New Roman" w:hAnsi="Times New Roman" w:cs="Times New Roman"/>
          <w:color w:val="333333"/>
          <w:bdr w:val="none" w:sz="0" w:space="0" w:color="auto" w:frame="1"/>
          <w:shd w:val="clear" w:color="auto" w:fill="FFFFFF"/>
        </w:rPr>
        <w:t>2005</w:t>
      </w:r>
      <w:r w:rsidRPr="00646F2C">
        <w:rPr>
          <w:rFonts w:ascii="Times New Roman" w:hAnsi="Times New Roman" w:cs="Times New Roman"/>
          <w:color w:val="333333"/>
          <w:shd w:val="clear" w:color="auto" w:fill="FFFFFF"/>
        </w:rPr>
        <w:t>. “</w:t>
      </w:r>
      <w:r w:rsidRPr="00646F2C">
        <w:rPr>
          <w:rStyle w:val="article-title"/>
          <w:rFonts w:ascii="Times New Roman" w:hAnsi="Times New Roman" w:cs="Times New Roman"/>
          <w:color w:val="333333"/>
          <w:bdr w:val="none" w:sz="0" w:space="0" w:color="auto" w:frame="1"/>
          <w:shd w:val="clear" w:color="auto" w:fill="FFFFFF"/>
        </w:rPr>
        <w:t>Ballot Access Restrictions and Candidate Entry in Elections</w:t>
      </w:r>
      <w:r w:rsidRPr="00646F2C">
        <w:rPr>
          <w:rFonts w:ascii="Times New Roman" w:hAnsi="Times New Roman" w:cs="Times New Roman"/>
          <w:color w:val="333333"/>
          <w:shd w:val="clear" w:color="auto" w:fill="FFFFFF"/>
        </w:rPr>
        <w:t>.” </w:t>
      </w:r>
      <w:r w:rsidRPr="00646F2C">
        <w:rPr>
          <w:rStyle w:val="source"/>
          <w:rFonts w:ascii="Times New Roman" w:hAnsi="Times New Roman" w:cs="Times New Roman"/>
          <w:i/>
          <w:iCs/>
          <w:color w:val="333333"/>
          <w:bdr w:val="none" w:sz="0" w:space="0" w:color="auto" w:frame="1"/>
          <w:shd w:val="clear" w:color="auto" w:fill="FFFFFF"/>
        </w:rPr>
        <w:t>European Journal of Political Economy</w:t>
      </w:r>
      <w:r w:rsidRPr="00646F2C">
        <w:rPr>
          <w:rFonts w:ascii="Times New Roman" w:hAnsi="Times New Roman" w:cs="Times New Roman"/>
          <w:color w:val="333333"/>
          <w:shd w:val="clear" w:color="auto" w:fill="FFFFFF"/>
        </w:rPr>
        <w:t> </w:t>
      </w:r>
      <w:r w:rsidRPr="00646F2C">
        <w:rPr>
          <w:rStyle w:val="volume"/>
          <w:rFonts w:ascii="Times New Roman" w:hAnsi="Times New Roman" w:cs="Times New Roman"/>
          <w:color w:val="333333"/>
          <w:bdr w:val="none" w:sz="0" w:space="0" w:color="auto" w:frame="1"/>
          <w:shd w:val="clear" w:color="auto" w:fill="FFFFFF"/>
        </w:rPr>
        <w:t>21</w:t>
      </w:r>
      <w:r w:rsidRPr="00646F2C">
        <w:rPr>
          <w:rFonts w:ascii="Times New Roman" w:hAnsi="Times New Roman" w:cs="Times New Roman"/>
          <w:color w:val="333333"/>
          <w:shd w:val="clear" w:color="auto" w:fill="FFFFFF"/>
        </w:rPr>
        <w:t>: </w:t>
      </w:r>
      <w:r w:rsidRPr="00646F2C">
        <w:rPr>
          <w:rStyle w:val="fpage"/>
          <w:rFonts w:ascii="Times New Roman" w:hAnsi="Times New Roman" w:cs="Times New Roman"/>
          <w:color w:val="333333"/>
          <w:bdr w:val="none" w:sz="0" w:space="0" w:color="auto" w:frame="1"/>
          <w:shd w:val="clear" w:color="auto" w:fill="FFFFFF"/>
        </w:rPr>
        <w:t>59</w:t>
      </w:r>
      <w:r w:rsidRPr="00646F2C">
        <w:rPr>
          <w:rFonts w:ascii="Times New Roman" w:hAnsi="Times New Roman" w:cs="Times New Roman"/>
          <w:color w:val="333333"/>
          <w:shd w:val="clear" w:color="auto" w:fill="FFFFFF"/>
        </w:rPr>
        <w:t>–</w:t>
      </w:r>
      <w:r w:rsidRPr="00646F2C">
        <w:rPr>
          <w:rStyle w:val="lpage"/>
          <w:rFonts w:ascii="Times New Roman" w:hAnsi="Times New Roman" w:cs="Times New Roman"/>
          <w:color w:val="333333"/>
          <w:bdr w:val="none" w:sz="0" w:space="0" w:color="auto" w:frame="1"/>
          <w:shd w:val="clear" w:color="auto" w:fill="FFFFFF"/>
        </w:rPr>
        <w:t>71</w:t>
      </w:r>
      <w:r w:rsidRPr="00646F2C">
        <w:rPr>
          <w:rFonts w:ascii="Times New Roman" w:hAnsi="Times New Roman" w:cs="Times New Roman"/>
          <w:color w:val="333333"/>
          <w:shd w:val="clear" w:color="auto" w:fill="FFFFFF"/>
        </w:rPr>
        <w:t>.</w:t>
      </w:r>
    </w:p>
  </w:footnote>
  <w:footnote w:id="3">
    <w:p w:rsidR="00AC5E25" w:rsidRPr="00646F2C" w:rsidRDefault="00AC5E25" w:rsidP="006E65E0">
      <w:pPr>
        <w:pStyle w:val="FootnoteText"/>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Drometer, M., &amp; Rincke, J. (2008). The design of political institutions: Electoral competition and the choice of ballot access restrictions in the United States (CESifo Working Paper No. 2046).</w:t>
      </w:r>
    </w:p>
  </w:footnote>
  <w:footnote w:id="4">
    <w:p w:rsidR="00AC5E25" w:rsidRPr="00646F2C" w:rsidRDefault="00AC5E25" w:rsidP="0070469A">
      <w:pPr>
        <w:pStyle w:val="FootnoteText"/>
        <w:jc w:val="both"/>
        <w:rPr>
          <w:rFonts w:ascii="Times New Roman" w:hAnsi="Times New Roman" w:cs="Times New Roman"/>
          <w:color w:val="000000" w:themeColor="text1"/>
          <w:lang w:val="ro-RO"/>
        </w:rPr>
      </w:pPr>
      <w:r w:rsidRPr="00646F2C">
        <w:rPr>
          <w:rStyle w:val="FootnoteReference"/>
          <w:rFonts w:ascii="Times New Roman" w:hAnsi="Times New Roman" w:cs="Times New Roman"/>
          <w:color w:val="000000" w:themeColor="text1"/>
          <w:lang w:val="ro-RO"/>
        </w:rPr>
        <w:footnoteRef/>
      </w:r>
      <w:r w:rsidRPr="00646F2C">
        <w:rPr>
          <w:rFonts w:ascii="Times New Roman" w:hAnsi="Times New Roman" w:cs="Times New Roman"/>
          <w:color w:val="000000" w:themeColor="text1"/>
          <w:lang w:val="ro-RO"/>
        </w:rPr>
        <w:t xml:space="preserve"> </w:t>
      </w:r>
      <w:r w:rsidRPr="00646F2C">
        <w:rPr>
          <w:rFonts w:ascii="Times New Roman" w:hAnsi="Times New Roman" w:cs="Times New Roman"/>
          <w:color w:val="000000" w:themeColor="text1"/>
          <w:lang w:val="ro-RO"/>
        </w:rPr>
        <w:t xml:space="preserve">Daniel J. Lee, ”Take the Good With the Bad: Cross-Cutting Effects of Ballot Access Requirements on Third-Party Electoral Success,” </w:t>
      </w:r>
      <w:r w:rsidRPr="00646F2C">
        <w:rPr>
          <w:rFonts w:ascii="Times New Roman" w:hAnsi="Times New Roman" w:cs="Times New Roman"/>
          <w:i/>
          <w:iCs/>
          <w:color w:val="000000" w:themeColor="text1"/>
          <w:lang w:val="ro-RO"/>
        </w:rPr>
        <w:t>American Politics Research</w:t>
      </w:r>
      <w:r w:rsidRPr="00646F2C">
        <w:rPr>
          <w:rFonts w:ascii="Times New Roman" w:hAnsi="Times New Roman" w:cs="Times New Roman"/>
          <w:color w:val="000000" w:themeColor="text1"/>
          <w:lang w:val="ro-RO"/>
        </w:rPr>
        <w:t xml:space="preserve"> 40(2) 267-292, 2012, p.271.</w:t>
      </w:r>
    </w:p>
  </w:footnote>
  <w:footnote w:id="5">
    <w:p w:rsidR="00AC5E25" w:rsidRPr="00646F2C" w:rsidRDefault="00AC5E25" w:rsidP="006E65E0">
      <w:pPr>
        <w:pStyle w:val="Heading1"/>
        <w:shd w:val="clear" w:color="auto" w:fill="FFFFFF"/>
        <w:spacing w:before="0" w:line="240" w:lineRule="auto"/>
        <w:jc w:val="both"/>
        <w:textAlignment w:val="baseline"/>
        <w:rPr>
          <w:rFonts w:ascii="Times New Roman" w:hAnsi="Times New Roman" w:cs="Times New Roman"/>
          <w:color w:val="000000" w:themeColor="text1"/>
          <w:sz w:val="20"/>
          <w:szCs w:val="20"/>
          <w:lang w:val="ro-RO"/>
        </w:rPr>
      </w:pPr>
      <w:r w:rsidRPr="00646F2C">
        <w:rPr>
          <w:rStyle w:val="FootnoteReference"/>
          <w:rFonts w:ascii="Times New Roman" w:hAnsi="Times New Roman" w:cs="Times New Roman"/>
          <w:color w:val="000000" w:themeColor="text1"/>
          <w:sz w:val="20"/>
          <w:szCs w:val="20"/>
          <w:lang w:val="ro-RO"/>
        </w:rPr>
        <w:footnoteRef/>
      </w:r>
      <w:r w:rsidRPr="00646F2C">
        <w:rPr>
          <w:rFonts w:ascii="Times New Roman" w:hAnsi="Times New Roman" w:cs="Times New Roman"/>
          <w:color w:val="000000" w:themeColor="text1"/>
          <w:sz w:val="20"/>
          <w:szCs w:val="20"/>
          <w:lang w:val="ro-RO"/>
        </w:rPr>
        <w:t xml:space="preserve"> </w:t>
      </w:r>
      <w:r w:rsidRPr="00646F2C">
        <w:rPr>
          <w:rFonts w:ascii="Times New Roman" w:hAnsi="Times New Roman" w:cs="Times New Roman"/>
          <w:color w:val="000000" w:themeColor="text1"/>
          <w:sz w:val="20"/>
          <w:szCs w:val="20"/>
          <w:lang w:val="ro-RO"/>
        </w:rPr>
        <w:t xml:space="preserve">Anika Gauja, </w:t>
      </w:r>
      <w:r w:rsidRPr="00646F2C">
        <w:rPr>
          <w:rStyle w:val="Title1"/>
          <w:rFonts w:ascii="Times New Roman" w:hAnsi="Times New Roman" w:cs="Times New Roman"/>
          <w:i/>
          <w:iCs/>
          <w:color w:val="000000" w:themeColor="text1"/>
          <w:sz w:val="20"/>
          <w:szCs w:val="20"/>
          <w:bdr w:val="none" w:sz="0" w:space="0" w:color="auto" w:frame="1"/>
        </w:rPr>
        <w:t xml:space="preserve">Political Parties and Elections </w:t>
      </w:r>
      <w:r w:rsidRPr="00646F2C">
        <w:rPr>
          <w:rStyle w:val="Subtitle1"/>
          <w:rFonts w:ascii="Times New Roman" w:hAnsi="Times New Roman" w:cs="Times New Roman"/>
          <w:i/>
          <w:iCs/>
          <w:color w:val="000000" w:themeColor="text1"/>
          <w:sz w:val="20"/>
          <w:szCs w:val="20"/>
          <w:bdr w:val="none" w:sz="0" w:space="0" w:color="auto" w:frame="1"/>
        </w:rPr>
        <w:t>Legislating for Representative Democracy</w:t>
      </w:r>
      <w:r w:rsidRPr="00646F2C">
        <w:rPr>
          <w:rStyle w:val="Subtitle1"/>
          <w:rFonts w:ascii="Times New Roman" w:hAnsi="Times New Roman" w:cs="Times New Roman"/>
          <w:color w:val="000000" w:themeColor="text1"/>
          <w:sz w:val="20"/>
          <w:szCs w:val="20"/>
          <w:bdr w:val="none" w:sz="0" w:space="0" w:color="auto" w:frame="1"/>
        </w:rPr>
        <w:t>, Routlage, 2010,</w:t>
      </w:r>
      <w:r w:rsidRPr="00646F2C">
        <w:rPr>
          <w:rStyle w:val="Subtitle1"/>
          <w:rFonts w:ascii="Times New Roman" w:hAnsi="Times New Roman" w:cs="Times New Roman"/>
          <w:b/>
          <w:bCs/>
          <w:color w:val="000000" w:themeColor="text1"/>
          <w:sz w:val="20"/>
          <w:szCs w:val="20"/>
          <w:bdr w:val="none" w:sz="0" w:space="0" w:color="auto" w:frame="1"/>
        </w:rPr>
        <w:t xml:space="preserve"> </w:t>
      </w:r>
      <w:r w:rsidRPr="00646F2C">
        <w:rPr>
          <w:rFonts w:ascii="Times New Roman" w:hAnsi="Times New Roman" w:cs="Times New Roman"/>
          <w:color w:val="000000" w:themeColor="text1"/>
          <w:sz w:val="20"/>
          <w:szCs w:val="20"/>
          <w:lang w:val="ro-RO"/>
        </w:rPr>
        <w:t>p.7.</w:t>
      </w:r>
    </w:p>
  </w:footnote>
  <w:footnote w:id="6">
    <w:p w:rsidR="00AC5E25" w:rsidRPr="00646F2C" w:rsidRDefault="00AC5E25" w:rsidP="006E65E0">
      <w:pPr>
        <w:autoSpaceDE w:val="0"/>
        <w:autoSpaceDN w:val="0"/>
        <w:adjustRightInd w:val="0"/>
        <w:spacing w:after="0" w:line="240" w:lineRule="auto"/>
        <w:jc w:val="both"/>
        <w:rPr>
          <w:rFonts w:ascii="Times New Roman" w:hAnsi="Times New Roman" w:cs="Times New Roman"/>
          <w:sz w:val="20"/>
          <w:szCs w:val="20"/>
          <w:lang w:val="ro-RO"/>
        </w:rPr>
      </w:pPr>
      <w:r w:rsidRPr="00646F2C">
        <w:rPr>
          <w:rStyle w:val="FootnoteReference"/>
          <w:rFonts w:ascii="Times New Roman" w:hAnsi="Times New Roman" w:cs="Times New Roman"/>
          <w:color w:val="000000" w:themeColor="text1"/>
          <w:sz w:val="20"/>
          <w:szCs w:val="20"/>
          <w:lang w:val="ro-RO"/>
        </w:rPr>
        <w:footnoteRef/>
      </w:r>
      <w:r w:rsidRPr="00646F2C">
        <w:rPr>
          <w:rFonts w:ascii="Times New Roman" w:hAnsi="Times New Roman" w:cs="Times New Roman"/>
          <w:color w:val="000000" w:themeColor="text1"/>
          <w:sz w:val="20"/>
          <w:szCs w:val="20"/>
          <w:lang w:val="ro-RO"/>
        </w:rPr>
        <w:t xml:space="preserve"> </w:t>
      </w:r>
      <w:r w:rsidRPr="00646F2C">
        <w:rPr>
          <w:rFonts w:ascii="Times New Roman" w:hAnsi="Times New Roman" w:cs="Times New Roman"/>
          <w:color w:val="000000" w:themeColor="text1"/>
          <w:sz w:val="20"/>
          <w:szCs w:val="20"/>
          <w:lang w:val="ro-RO"/>
        </w:rPr>
        <w:t>Anika Gauja, 2014. ”Building competition and breaking cartels? The legislative and judicial regulation of political parties in common law democracies</w:t>
      </w:r>
      <w:r w:rsidRPr="00646F2C">
        <w:rPr>
          <w:rFonts w:ascii="Times New Roman" w:hAnsi="Times New Roman" w:cs="Times New Roman"/>
          <w:sz w:val="20"/>
          <w:szCs w:val="20"/>
          <w:lang w:val="ro-RO"/>
        </w:rPr>
        <w:t xml:space="preserve">,” </w:t>
      </w:r>
      <w:r w:rsidRPr="00646F2C">
        <w:rPr>
          <w:rFonts w:ascii="Times New Roman" w:hAnsi="Times New Roman" w:cs="Times New Roman"/>
          <w:i/>
          <w:iCs/>
          <w:sz w:val="20"/>
          <w:szCs w:val="20"/>
          <w:lang w:val="ro-RO"/>
        </w:rPr>
        <w:t xml:space="preserve">International Political Science Review </w:t>
      </w:r>
      <w:r w:rsidRPr="00646F2C">
        <w:rPr>
          <w:rFonts w:ascii="Times New Roman" w:hAnsi="Times New Roman" w:cs="Times New Roman"/>
          <w:sz w:val="20"/>
          <w:szCs w:val="20"/>
          <w:lang w:val="ro-RO"/>
        </w:rPr>
        <w:t xml:space="preserve">2014, Vol. 35(3) 339–354. p.340. </w:t>
      </w:r>
    </w:p>
  </w:footnote>
  <w:footnote w:id="7">
    <w:p w:rsidR="00AC5E25" w:rsidRPr="00646F2C" w:rsidRDefault="00AC5E25" w:rsidP="006E65E0">
      <w:pPr>
        <w:autoSpaceDE w:val="0"/>
        <w:autoSpaceDN w:val="0"/>
        <w:adjustRightInd w:val="0"/>
        <w:spacing w:after="0" w:line="240" w:lineRule="auto"/>
        <w:jc w:val="both"/>
        <w:rPr>
          <w:rFonts w:ascii="Times New Roman" w:hAnsi="Times New Roman" w:cs="Times New Roman"/>
          <w:sz w:val="20"/>
          <w:szCs w:val="20"/>
          <w:lang w:val="ro-RO"/>
        </w:rPr>
      </w:pPr>
      <w:r w:rsidRPr="00646F2C">
        <w:rPr>
          <w:rStyle w:val="FootnoteReference"/>
          <w:rFonts w:ascii="Times New Roman" w:hAnsi="Times New Roman" w:cs="Times New Roman"/>
          <w:sz w:val="20"/>
          <w:szCs w:val="20"/>
          <w:lang w:val="ro-RO"/>
        </w:rPr>
        <w:footnoteRef/>
      </w:r>
      <w:r w:rsidRPr="00646F2C">
        <w:rPr>
          <w:rFonts w:ascii="Times New Roman" w:hAnsi="Times New Roman" w:cs="Times New Roman"/>
          <w:sz w:val="20"/>
          <w:szCs w:val="20"/>
          <w:lang w:val="ro-RO"/>
        </w:rPr>
        <w:t xml:space="preserve"> </w:t>
      </w:r>
      <w:r w:rsidRPr="00646F2C">
        <w:rPr>
          <w:rFonts w:ascii="Times New Roman" w:hAnsi="Times New Roman" w:cs="Times New Roman"/>
          <w:sz w:val="20"/>
          <w:szCs w:val="20"/>
          <w:lang w:val="ro-RO"/>
        </w:rPr>
        <w:t xml:space="preserve">Thomas Stratmann, ”Ballot access restrictions and candidate entry in elections,” </w:t>
      </w:r>
      <w:r w:rsidRPr="00646F2C">
        <w:rPr>
          <w:rFonts w:ascii="Times New Roman" w:hAnsi="Times New Roman" w:cs="Times New Roman"/>
          <w:i/>
          <w:iCs/>
          <w:sz w:val="20"/>
          <w:szCs w:val="20"/>
          <w:lang w:val="ro-RO"/>
        </w:rPr>
        <w:t>European Journal of Political Economy</w:t>
      </w:r>
      <w:r w:rsidRPr="00646F2C">
        <w:rPr>
          <w:rFonts w:ascii="Times New Roman" w:hAnsi="Times New Roman" w:cs="Times New Roman"/>
          <w:sz w:val="20"/>
          <w:szCs w:val="20"/>
          <w:lang w:val="ro-RO"/>
        </w:rPr>
        <w:t xml:space="preserve">, Vol. 21 (2005) 59–71. </w:t>
      </w:r>
    </w:p>
  </w:footnote>
  <w:footnote w:id="8">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i/>
          <w:iCs/>
          <w:lang w:val="ro-RO"/>
        </w:rPr>
        <w:t>Idem</w:t>
      </w:r>
      <w:r w:rsidRPr="00646F2C">
        <w:rPr>
          <w:rFonts w:ascii="Times New Roman" w:hAnsi="Times New Roman" w:cs="Times New Roman"/>
          <w:lang w:val="ro-RO"/>
        </w:rPr>
        <w:t xml:space="preserve">, p. 69. </w:t>
      </w:r>
    </w:p>
  </w:footnote>
  <w:footnote w:id="9">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i/>
          <w:iCs/>
          <w:lang w:val="ro-RO"/>
        </w:rPr>
        <w:t>Idem</w:t>
      </w:r>
      <w:r w:rsidRPr="00646F2C">
        <w:rPr>
          <w:rFonts w:ascii="Times New Roman" w:hAnsi="Times New Roman" w:cs="Times New Roman"/>
          <w:lang w:val="ro-RO"/>
        </w:rPr>
        <w:t>, p. 69.</w:t>
      </w:r>
    </w:p>
  </w:footnote>
  <w:footnote w:id="10">
    <w:p w:rsidR="00AC5E25" w:rsidRPr="00646F2C" w:rsidRDefault="00AC5E25" w:rsidP="006E65E0">
      <w:pPr>
        <w:autoSpaceDE w:val="0"/>
        <w:autoSpaceDN w:val="0"/>
        <w:adjustRightInd w:val="0"/>
        <w:spacing w:after="0" w:line="240" w:lineRule="auto"/>
        <w:jc w:val="both"/>
        <w:rPr>
          <w:rFonts w:ascii="Times New Roman" w:hAnsi="Times New Roman" w:cs="Times New Roman"/>
          <w:sz w:val="20"/>
          <w:szCs w:val="20"/>
          <w:lang w:val="ro-RO"/>
        </w:rPr>
      </w:pPr>
      <w:r w:rsidRPr="00646F2C">
        <w:rPr>
          <w:rStyle w:val="FootnoteReference"/>
          <w:rFonts w:ascii="Times New Roman" w:hAnsi="Times New Roman" w:cs="Times New Roman"/>
          <w:sz w:val="20"/>
          <w:szCs w:val="20"/>
          <w:lang w:val="ro-RO"/>
        </w:rPr>
        <w:footnoteRef/>
      </w:r>
      <w:r w:rsidRPr="00646F2C">
        <w:rPr>
          <w:rFonts w:ascii="Times New Roman" w:hAnsi="Times New Roman" w:cs="Times New Roman"/>
          <w:sz w:val="20"/>
          <w:szCs w:val="20"/>
          <w:lang w:val="ro-RO"/>
        </w:rPr>
        <w:t xml:space="preserve"> </w:t>
      </w:r>
      <w:r w:rsidRPr="00646F2C">
        <w:rPr>
          <w:rFonts w:ascii="Times New Roman" w:hAnsi="Times New Roman" w:cs="Times New Roman"/>
          <w:sz w:val="20"/>
          <w:szCs w:val="20"/>
          <w:lang w:val="ro-RO"/>
        </w:rPr>
        <w:t xml:space="preserve">Christopher L. Carter, ”Party system erosion: Evidence from Peru,” </w:t>
      </w:r>
      <w:r w:rsidRPr="00646F2C">
        <w:rPr>
          <w:rFonts w:ascii="Times New Roman" w:hAnsi="Times New Roman" w:cs="Times New Roman"/>
          <w:i/>
          <w:iCs/>
          <w:sz w:val="20"/>
          <w:szCs w:val="20"/>
          <w:lang w:val="ro-RO"/>
        </w:rPr>
        <w:t>Party Politics</w:t>
      </w:r>
      <w:r w:rsidRPr="00646F2C">
        <w:rPr>
          <w:rFonts w:ascii="Times New Roman" w:hAnsi="Times New Roman" w:cs="Times New Roman"/>
          <w:sz w:val="20"/>
          <w:szCs w:val="20"/>
          <w:lang w:val="ro-RO"/>
        </w:rPr>
        <w:t>, 1–13, 2018.</w:t>
      </w:r>
    </w:p>
  </w:footnote>
  <w:footnote w:id="11">
    <w:p w:rsidR="00AC5E25" w:rsidRPr="00646F2C" w:rsidRDefault="00AC5E25" w:rsidP="006E65E0">
      <w:pPr>
        <w:pStyle w:val="Heading3"/>
        <w:shd w:val="clear" w:color="auto" w:fill="FFFFFF"/>
        <w:spacing w:before="0" w:beforeAutospacing="0" w:after="0" w:afterAutospacing="0"/>
        <w:jc w:val="both"/>
        <w:rPr>
          <w:b w:val="0"/>
          <w:bCs w:val="0"/>
          <w:sz w:val="20"/>
          <w:szCs w:val="20"/>
          <w:lang w:val="ro-RO"/>
        </w:rPr>
      </w:pPr>
      <w:r w:rsidRPr="00646F2C">
        <w:rPr>
          <w:rStyle w:val="FootnoteReference"/>
          <w:b w:val="0"/>
          <w:bCs w:val="0"/>
          <w:sz w:val="20"/>
          <w:szCs w:val="20"/>
          <w:lang w:val="ro-RO"/>
        </w:rPr>
        <w:footnoteRef/>
      </w:r>
      <w:r w:rsidRPr="00646F2C">
        <w:rPr>
          <w:b w:val="0"/>
          <w:bCs w:val="0"/>
          <w:sz w:val="20"/>
          <w:szCs w:val="20"/>
          <w:lang w:val="ro-RO"/>
        </w:rPr>
        <w:t xml:space="preserve"> </w:t>
      </w:r>
      <w:r w:rsidRPr="00646F2C">
        <w:rPr>
          <w:b w:val="0"/>
          <w:bCs w:val="0"/>
          <w:sz w:val="20"/>
          <w:szCs w:val="20"/>
          <w:lang w:val="ro-RO"/>
        </w:rPr>
        <w:t xml:space="preserve">United States Supreme Court BULLOCK v. CARTER(1972), nr.70-128 1972 Sursă internet: </w:t>
      </w:r>
      <w:hyperlink r:id="rId1" w:history="1">
        <w:r w:rsidRPr="00646F2C">
          <w:rPr>
            <w:rStyle w:val="Hyperlink"/>
            <w:b w:val="0"/>
            <w:bCs w:val="0"/>
            <w:sz w:val="20"/>
            <w:szCs w:val="20"/>
          </w:rPr>
          <w:t>https://supreme.justia.com/cases/federal/us/405/134/</w:t>
        </w:r>
      </w:hyperlink>
      <w:r w:rsidRPr="00646F2C">
        <w:rPr>
          <w:b w:val="0"/>
          <w:bCs w:val="0"/>
          <w:sz w:val="20"/>
          <w:szCs w:val="20"/>
          <w:lang w:val="ro-RO"/>
        </w:rPr>
        <w:t xml:space="preserve">  </w:t>
      </w:r>
    </w:p>
  </w:footnote>
  <w:footnote w:id="12">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Lee 2012, p.84</w:t>
      </w:r>
    </w:p>
  </w:footnote>
  <w:footnote w:id="13">
    <w:p w:rsidR="00AC5E25" w:rsidRPr="00646F2C" w:rsidRDefault="00AC5E25" w:rsidP="006E65E0">
      <w:pPr>
        <w:shd w:val="clear" w:color="auto" w:fill="FFFFFF"/>
        <w:spacing w:after="0" w:line="240" w:lineRule="auto"/>
        <w:rPr>
          <w:rFonts w:ascii="Times New Roman" w:eastAsia="Times New Roman" w:hAnsi="Times New Roman" w:cs="Times New Roman"/>
          <w:i/>
          <w:iCs/>
          <w:color w:val="000000" w:themeColor="text1"/>
          <w:sz w:val="20"/>
          <w:szCs w:val="20"/>
          <w:lang w:eastAsia="en-GB" w:bidi="te-IN"/>
        </w:rPr>
      </w:pPr>
      <w:r w:rsidRPr="00646F2C">
        <w:rPr>
          <w:rStyle w:val="FootnoteReference"/>
          <w:rFonts w:ascii="Times New Roman" w:hAnsi="Times New Roman" w:cs="Times New Roman"/>
          <w:sz w:val="20"/>
          <w:szCs w:val="20"/>
          <w:lang w:val="ro-RO"/>
        </w:rPr>
        <w:footnoteRef/>
      </w:r>
      <w:r w:rsidRPr="00646F2C">
        <w:rPr>
          <w:rFonts w:ascii="Times New Roman" w:hAnsi="Times New Roman" w:cs="Times New Roman"/>
          <w:sz w:val="20"/>
          <w:szCs w:val="20"/>
          <w:lang w:val="ro-RO"/>
        </w:rPr>
        <w:t xml:space="preserve"> </w:t>
      </w:r>
      <w:r w:rsidRPr="00646F2C">
        <w:rPr>
          <w:rFonts w:ascii="Times New Roman" w:hAnsi="Times New Roman" w:cs="Times New Roman"/>
          <w:color w:val="333333"/>
          <w:sz w:val="20"/>
          <w:szCs w:val="20"/>
          <w:shd w:val="clear" w:color="auto" w:fill="FFFFFF"/>
        </w:rPr>
        <w:t>Marcus Drometer and Johannes Rincke</w:t>
      </w:r>
      <w:proofErr w:type="gramStart"/>
      <w:r w:rsidRPr="00646F2C">
        <w:rPr>
          <w:rFonts w:ascii="Times New Roman" w:hAnsi="Times New Roman" w:cs="Times New Roman"/>
          <w:color w:val="333333"/>
          <w:sz w:val="20"/>
          <w:szCs w:val="20"/>
          <w:shd w:val="clear" w:color="auto" w:fill="FFFFFF"/>
        </w:rPr>
        <w:t>, ”</w:t>
      </w:r>
      <w:r w:rsidRPr="00646F2C">
        <w:rPr>
          <w:rFonts w:ascii="Times New Roman" w:hAnsi="Times New Roman" w:cs="Times New Roman"/>
          <w:color w:val="333333"/>
          <w:sz w:val="20"/>
          <w:szCs w:val="20"/>
        </w:rPr>
        <w:t>The</w:t>
      </w:r>
      <w:proofErr w:type="gramEnd"/>
      <w:r w:rsidRPr="00646F2C">
        <w:rPr>
          <w:rFonts w:ascii="Times New Roman" w:hAnsi="Times New Roman" w:cs="Times New Roman"/>
          <w:color w:val="333333"/>
          <w:sz w:val="20"/>
          <w:szCs w:val="20"/>
        </w:rPr>
        <w:t xml:space="preserve"> Impact of Ballot Access Restrictions on Electoral Competition: </w:t>
      </w:r>
      <w:r w:rsidRPr="00646F2C">
        <w:rPr>
          <w:rFonts w:ascii="Times New Roman" w:hAnsi="Times New Roman" w:cs="Times New Roman"/>
          <w:color w:val="000000" w:themeColor="text1"/>
          <w:sz w:val="20"/>
          <w:szCs w:val="20"/>
        </w:rPr>
        <w:t xml:space="preserve">Evidence from a Natural Experiment, </w:t>
      </w:r>
      <w:r w:rsidRPr="00646F2C">
        <w:rPr>
          <w:rFonts w:ascii="Times New Roman" w:eastAsia="Times New Roman" w:hAnsi="Times New Roman" w:cs="Times New Roman"/>
          <w:i/>
          <w:iCs/>
          <w:color w:val="000000" w:themeColor="text1"/>
          <w:sz w:val="20"/>
          <w:szCs w:val="20"/>
          <w:lang w:eastAsia="en-GB" w:bidi="te-IN"/>
        </w:rPr>
        <w:t xml:space="preserve">Public Choice, </w:t>
      </w:r>
      <w:r w:rsidRPr="006E65E0">
        <w:rPr>
          <w:rFonts w:ascii="Times New Roman" w:eastAsia="Times New Roman" w:hAnsi="Times New Roman" w:cs="Times New Roman"/>
          <w:color w:val="000000" w:themeColor="text1"/>
          <w:sz w:val="20"/>
          <w:szCs w:val="20"/>
          <w:lang w:eastAsia="en-GB" w:bidi="te-IN"/>
        </w:rPr>
        <w:t>Vol. 138, No. 3/4 (Mar., 2009), pp. 461-474</w:t>
      </w:r>
      <w:r w:rsidRPr="00646F2C">
        <w:rPr>
          <w:rFonts w:ascii="Times New Roman" w:eastAsia="Times New Roman" w:hAnsi="Times New Roman" w:cs="Times New Roman"/>
          <w:color w:val="000000" w:themeColor="text1"/>
          <w:sz w:val="20"/>
          <w:szCs w:val="20"/>
          <w:lang w:eastAsia="en-GB" w:bidi="te-IN"/>
        </w:rPr>
        <w:t>.</w:t>
      </w:r>
    </w:p>
  </w:footnote>
  <w:footnote w:id="14">
    <w:p w:rsidR="00AC5E25" w:rsidRPr="00646F2C" w:rsidRDefault="00AC5E25" w:rsidP="006E65E0">
      <w:pPr>
        <w:pStyle w:val="FootnoteText"/>
        <w:jc w:val="both"/>
        <w:rPr>
          <w:rFonts w:ascii="Times New Roman" w:hAnsi="Times New Roman" w:cs="Times New Roman"/>
          <w:color w:val="000000" w:themeColor="text1"/>
          <w:lang w:val="ro-RO"/>
        </w:rPr>
      </w:pPr>
      <w:r w:rsidRPr="00646F2C">
        <w:rPr>
          <w:rStyle w:val="FootnoteReference"/>
          <w:rFonts w:ascii="Times New Roman" w:hAnsi="Times New Roman" w:cs="Times New Roman"/>
          <w:color w:val="000000" w:themeColor="text1"/>
          <w:lang w:val="ro-RO"/>
        </w:rPr>
        <w:footnoteRef/>
      </w:r>
      <w:r w:rsidRPr="00646F2C">
        <w:rPr>
          <w:rFonts w:ascii="Times New Roman" w:hAnsi="Times New Roman" w:cs="Times New Roman"/>
          <w:color w:val="000000" w:themeColor="text1"/>
          <w:lang w:val="ro-RO"/>
        </w:rPr>
        <w:t xml:space="preserve"> </w:t>
      </w:r>
      <w:r w:rsidRPr="00646F2C">
        <w:rPr>
          <w:rFonts w:ascii="Times New Roman" w:hAnsi="Times New Roman" w:cs="Times New Roman"/>
          <w:color w:val="000000" w:themeColor="text1"/>
          <w:lang w:val="ro-RO"/>
        </w:rPr>
        <w:t>Lee 2012, p.272,</w:t>
      </w:r>
    </w:p>
  </w:footnote>
  <w:footnote w:id="15">
    <w:p w:rsidR="00AC5E25" w:rsidRPr="00646F2C" w:rsidRDefault="00AC5E25" w:rsidP="003550FC">
      <w:pPr>
        <w:pStyle w:val="Heading1"/>
        <w:shd w:val="clear" w:color="auto" w:fill="FFFFFF"/>
        <w:spacing w:before="0" w:line="240" w:lineRule="auto"/>
        <w:jc w:val="both"/>
        <w:rPr>
          <w:rFonts w:ascii="Times New Roman" w:hAnsi="Times New Roman" w:cs="Times New Roman"/>
          <w:color w:val="000000" w:themeColor="text1"/>
          <w:sz w:val="20"/>
          <w:szCs w:val="20"/>
          <w:lang w:val="ro-RO"/>
        </w:rPr>
      </w:pPr>
      <w:r w:rsidRPr="00646F2C">
        <w:rPr>
          <w:rStyle w:val="FootnoteReference"/>
          <w:rFonts w:ascii="Times New Roman" w:hAnsi="Times New Roman" w:cs="Times New Roman"/>
          <w:color w:val="000000" w:themeColor="text1"/>
          <w:sz w:val="20"/>
          <w:szCs w:val="20"/>
          <w:lang w:val="ro-RO"/>
        </w:rPr>
        <w:footnoteRef/>
      </w:r>
      <w:r w:rsidRPr="00646F2C">
        <w:rPr>
          <w:rFonts w:ascii="Times New Roman" w:hAnsi="Times New Roman" w:cs="Times New Roman"/>
          <w:color w:val="000000" w:themeColor="text1"/>
          <w:sz w:val="20"/>
          <w:szCs w:val="20"/>
          <w:lang w:val="ro-RO"/>
        </w:rPr>
        <w:t xml:space="preserve"> </w:t>
      </w:r>
      <w:r w:rsidRPr="00646F2C">
        <w:rPr>
          <w:rFonts w:ascii="Times New Roman" w:hAnsi="Times New Roman" w:cs="Times New Roman"/>
          <w:color w:val="000000" w:themeColor="text1"/>
          <w:sz w:val="20"/>
          <w:szCs w:val="20"/>
          <w:lang w:val="ro-RO"/>
        </w:rPr>
        <w:t xml:space="preserve">Müller and Sieberer, 2006: 437. </w:t>
      </w:r>
    </w:p>
  </w:footnote>
  <w:footnote w:id="16">
    <w:p w:rsidR="00AC5E25" w:rsidRPr="00646F2C" w:rsidRDefault="00AC5E25" w:rsidP="006E65E0">
      <w:pPr>
        <w:autoSpaceDE w:val="0"/>
        <w:autoSpaceDN w:val="0"/>
        <w:adjustRightInd w:val="0"/>
        <w:spacing w:after="0" w:line="240" w:lineRule="auto"/>
        <w:jc w:val="both"/>
        <w:rPr>
          <w:rFonts w:ascii="Times New Roman" w:hAnsi="Times New Roman" w:cs="Times New Roman"/>
          <w:color w:val="000000" w:themeColor="text1"/>
          <w:sz w:val="20"/>
          <w:szCs w:val="20"/>
          <w:lang w:val="ro-RO"/>
        </w:rPr>
      </w:pPr>
      <w:r w:rsidRPr="00646F2C">
        <w:rPr>
          <w:rStyle w:val="FootnoteReference"/>
          <w:rFonts w:ascii="Times New Roman" w:hAnsi="Times New Roman" w:cs="Times New Roman"/>
          <w:color w:val="000000" w:themeColor="text1"/>
          <w:sz w:val="20"/>
          <w:szCs w:val="20"/>
          <w:lang w:val="ro-RO"/>
        </w:rPr>
        <w:footnoteRef/>
      </w:r>
      <w:r w:rsidRPr="00646F2C">
        <w:rPr>
          <w:rFonts w:ascii="Times New Roman" w:hAnsi="Times New Roman" w:cs="Times New Roman"/>
          <w:color w:val="000000" w:themeColor="text1"/>
          <w:sz w:val="20"/>
          <w:szCs w:val="20"/>
          <w:lang w:val="ro-RO"/>
        </w:rPr>
        <w:t xml:space="preserve"> </w:t>
      </w:r>
      <w:r w:rsidRPr="00646F2C">
        <w:rPr>
          <w:rFonts w:ascii="Times New Roman" w:hAnsi="Times New Roman" w:cs="Times New Roman"/>
          <w:color w:val="000000" w:themeColor="text1"/>
          <w:sz w:val="20"/>
          <w:szCs w:val="20"/>
          <w:lang w:val="ro-RO"/>
        </w:rPr>
        <w:t xml:space="preserve">Daniel J. Lee, ”Take the Good With the Bad: Cross-Cutting Effects of Ballot Access Requirements on Third-Party Electoral Success,” </w:t>
      </w:r>
      <w:r w:rsidRPr="00646F2C">
        <w:rPr>
          <w:rFonts w:ascii="Times New Roman" w:hAnsi="Times New Roman" w:cs="Times New Roman"/>
          <w:i/>
          <w:iCs/>
          <w:color w:val="000000" w:themeColor="text1"/>
          <w:sz w:val="20"/>
          <w:szCs w:val="20"/>
          <w:lang w:val="ro-RO"/>
        </w:rPr>
        <w:t>American Politics Research</w:t>
      </w:r>
      <w:r w:rsidRPr="00646F2C">
        <w:rPr>
          <w:rFonts w:ascii="Times New Roman" w:hAnsi="Times New Roman" w:cs="Times New Roman"/>
          <w:color w:val="000000" w:themeColor="text1"/>
          <w:sz w:val="20"/>
          <w:szCs w:val="20"/>
          <w:lang w:val="ro-RO"/>
        </w:rPr>
        <w:t xml:space="preserve"> 40(2) 267-292, 2012. </w:t>
      </w:r>
    </w:p>
  </w:footnote>
  <w:footnote w:id="17">
    <w:p w:rsidR="00AC5E25" w:rsidRPr="00646F2C" w:rsidRDefault="00AC5E25" w:rsidP="006E65E0">
      <w:pPr>
        <w:pStyle w:val="FootnoteText"/>
        <w:rPr>
          <w:rFonts w:ascii="Times New Roman" w:hAnsi="Times New Roman" w:cs="Times New Roman"/>
          <w:lang w:val="ro-RO"/>
        </w:rPr>
      </w:pPr>
      <w:r w:rsidRPr="00646F2C">
        <w:rPr>
          <w:rStyle w:val="FootnoteReference"/>
          <w:rFonts w:ascii="Times New Roman" w:hAnsi="Times New Roman" w:cs="Times New Roman"/>
          <w:color w:val="000000" w:themeColor="text1"/>
        </w:rPr>
        <w:footnoteRef/>
      </w:r>
      <w:r w:rsidRPr="00646F2C">
        <w:rPr>
          <w:rFonts w:ascii="Times New Roman" w:hAnsi="Times New Roman" w:cs="Times New Roman"/>
          <w:color w:val="000000" w:themeColor="text1"/>
        </w:rPr>
        <w:t xml:space="preserve"> </w:t>
      </w:r>
      <w:r w:rsidRPr="00646F2C">
        <w:rPr>
          <w:rStyle w:val="surname"/>
          <w:rFonts w:ascii="Times New Roman" w:hAnsi="Times New Roman" w:cs="Times New Roman"/>
          <w:color w:val="000000" w:themeColor="text1"/>
          <w:bdr w:val="none" w:sz="0" w:space="0" w:color="auto" w:frame="1"/>
          <w:shd w:val="clear" w:color="auto" w:fill="FFFFFF"/>
        </w:rPr>
        <w:t>Tamas</w:t>
      </w:r>
      <w:r w:rsidRPr="00646F2C">
        <w:rPr>
          <w:rStyle w:val="name"/>
          <w:rFonts w:ascii="Times New Roman" w:hAnsi="Times New Roman" w:cs="Times New Roman"/>
          <w:color w:val="000000" w:themeColor="text1"/>
          <w:bdr w:val="none" w:sz="0" w:space="0" w:color="auto" w:frame="1"/>
          <w:shd w:val="clear" w:color="auto" w:fill="FFFFFF"/>
        </w:rPr>
        <w:t>, </w:t>
      </w:r>
      <w:r w:rsidRPr="00646F2C">
        <w:rPr>
          <w:rStyle w:val="given-names"/>
          <w:rFonts w:ascii="Times New Roman" w:hAnsi="Times New Roman" w:cs="Times New Roman"/>
          <w:color w:val="000000" w:themeColor="text1"/>
          <w:bdr w:val="none" w:sz="0" w:space="0" w:color="auto" w:frame="1"/>
          <w:shd w:val="clear" w:color="auto" w:fill="FFFFFF"/>
        </w:rPr>
        <w:t>Bernard Ivan</w:t>
      </w:r>
      <w:r w:rsidRPr="00646F2C">
        <w:rPr>
          <w:rFonts w:ascii="Times New Roman" w:hAnsi="Times New Roman" w:cs="Times New Roman"/>
          <w:color w:val="000000" w:themeColor="text1"/>
          <w:shd w:val="clear" w:color="auto" w:fill="FFFFFF"/>
        </w:rPr>
        <w:t>, and </w:t>
      </w:r>
      <w:r w:rsidRPr="00646F2C">
        <w:rPr>
          <w:rStyle w:val="given-names"/>
          <w:rFonts w:ascii="Times New Roman" w:hAnsi="Times New Roman" w:cs="Times New Roman"/>
          <w:color w:val="000000" w:themeColor="text1"/>
          <w:bdr w:val="none" w:sz="0" w:space="0" w:color="auto" w:frame="1"/>
          <w:shd w:val="clear" w:color="auto" w:fill="FFFFFF"/>
        </w:rPr>
        <w:t>Matthew Dean</w:t>
      </w:r>
      <w:r w:rsidRPr="00646F2C">
        <w:rPr>
          <w:rStyle w:val="name"/>
          <w:rFonts w:ascii="Times New Roman" w:hAnsi="Times New Roman" w:cs="Times New Roman"/>
          <w:color w:val="000000" w:themeColor="text1"/>
          <w:bdr w:val="none" w:sz="0" w:space="0" w:color="auto" w:frame="1"/>
          <w:shd w:val="clear" w:color="auto" w:fill="FFFFFF"/>
        </w:rPr>
        <w:t> </w:t>
      </w:r>
      <w:r w:rsidRPr="00646F2C">
        <w:rPr>
          <w:rStyle w:val="surname"/>
          <w:rFonts w:ascii="Times New Roman" w:hAnsi="Times New Roman" w:cs="Times New Roman"/>
          <w:color w:val="595959"/>
          <w:bdr w:val="none" w:sz="0" w:space="0" w:color="auto" w:frame="1"/>
          <w:shd w:val="clear" w:color="auto" w:fill="FFFFFF"/>
        </w:rPr>
        <w:t>Hindman</w:t>
      </w:r>
      <w:r w:rsidRPr="00646F2C">
        <w:rPr>
          <w:rFonts w:ascii="Times New Roman" w:hAnsi="Times New Roman" w:cs="Times New Roman"/>
          <w:color w:val="333333"/>
          <w:shd w:val="clear" w:color="auto" w:fill="FFFFFF"/>
        </w:rPr>
        <w:t>. </w:t>
      </w:r>
      <w:r w:rsidRPr="00646F2C">
        <w:rPr>
          <w:rStyle w:val="year"/>
          <w:rFonts w:ascii="Times New Roman" w:hAnsi="Times New Roman" w:cs="Times New Roman"/>
          <w:color w:val="333333"/>
          <w:bdr w:val="none" w:sz="0" w:space="0" w:color="auto" w:frame="1"/>
          <w:shd w:val="clear" w:color="auto" w:fill="FFFFFF"/>
        </w:rPr>
        <w:t>2007</w:t>
      </w:r>
      <w:r w:rsidRPr="00646F2C">
        <w:rPr>
          <w:rFonts w:ascii="Times New Roman" w:hAnsi="Times New Roman" w:cs="Times New Roman"/>
          <w:color w:val="333333"/>
          <w:shd w:val="clear" w:color="auto" w:fill="FFFFFF"/>
        </w:rPr>
        <w:t>. “</w:t>
      </w:r>
      <w:r w:rsidRPr="00646F2C">
        <w:rPr>
          <w:rStyle w:val="source"/>
          <w:rFonts w:ascii="Times New Roman" w:hAnsi="Times New Roman" w:cs="Times New Roman"/>
          <w:i/>
          <w:iCs/>
          <w:color w:val="333333"/>
          <w:bdr w:val="none" w:sz="0" w:space="0" w:color="auto" w:frame="1"/>
          <w:shd w:val="clear" w:color="auto" w:fill="FFFFFF"/>
        </w:rPr>
        <w:t>Do State Election Laws Really Hurt Third-Parties? Ballot Access, Fusion, and Elections to the U.S. House of Representatives</w:t>
      </w:r>
      <w:r w:rsidRPr="00646F2C">
        <w:rPr>
          <w:rFonts w:ascii="Times New Roman" w:hAnsi="Times New Roman" w:cs="Times New Roman"/>
          <w:color w:val="333333"/>
          <w:shd w:val="clear" w:color="auto" w:fill="FFFFFF"/>
        </w:rPr>
        <w:t>.” </w:t>
      </w:r>
      <w:r w:rsidRPr="00646F2C">
        <w:rPr>
          <w:rStyle w:val="conf-name"/>
          <w:rFonts w:ascii="Times New Roman" w:hAnsi="Times New Roman" w:cs="Times New Roman"/>
          <w:color w:val="333333"/>
          <w:bdr w:val="none" w:sz="0" w:space="0" w:color="auto" w:frame="1"/>
          <w:shd w:val="clear" w:color="auto" w:fill="FFFFFF"/>
        </w:rPr>
        <w:t>Presented at the annual meeting of the Midwest Political Science Association, Chicago</w:t>
      </w:r>
      <w:r w:rsidRPr="00646F2C">
        <w:rPr>
          <w:rFonts w:ascii="Times New Roman" w:hAnsi="Times New Roman" w:cs="Times New Roman"/>
          <w:color w:val="333333"/>
          <w:shd w:val="clear" w:color="auto" w:fill="FFFFFF"/>
        </w:rPr>
        <w:t>.</w:t>
      </w:r>
    </w:p>
  </w:footnote>
  <w:footnote w:id="18">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shd w:val="clear" w:color="auto" w:fill="FFFFFF"/>
          <w:lang w:val="ro-RO"/>
        </w:rPr>
        <w:t xml:space="preserve">2002/772/EC, Euratom: Council Decision of 25 June 2002 and 23 September 2002 amending the Act concerning the election of the representatives of the European Parliament by direct universal suffrage, annexed to Decision 76/787/ECSC, EEC, Euratom. Sursă internet: </w:t>
      </w:r>
      <w:hyperlink r:id="rId2" w:history="1">
        <w:r w:rsidRPr="00646F2C">
          <w:rPr>
            <w:rStyle w:val="Hyperlink"/>
            <w:rFonts w:ascii="Times New Roman" w:hAnsi="Times New Roman" w:cs="Times New Roman"/>
            <w:color w:val="auto"/>
            <w:lang w:val="ro-RO"/>
          </w:rPr>
          <w:t>https://eur-lex.europa.eu/legal-content/en/ALL/?uri=CELEX%3A32002D0772</w:t>
        </w:r>
      </w:hyperlink>
    </w:p>
  </w:footnote>
  <w:footnote w:id="19">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hyperlink r:id="rId3" w:history="1">
        <w:r w:rsidRPr="00646F2C">
          <w:rPr>
            <w:rFonts w:ascii="Times New Roman" w:hAnsi="Times New Roman" w:cs="Times New Roman"/>
            <w:shd w:val="clear" w:color="auto" w:fill="FFFFFF"/>
            <w:lang w:val="ro-RO"/>
          </w:rPr>
          <w:t xml:space="preserve">European Council Decision (EU) 2018/937 of 28 June 2018 establishing the composition of the European Parliament. Sursă internet: </w:t>
        </w:r>
        <w:r w:rsidRPr="00646F2C">
          <w:rPr>
            <w:rStyle w:val="Hyperlink"/>
            <w:rFonts w:ascii="Times New Roman" w:hAnsi="Times New Roman" w:cs="Times New Roman"/>
            <w:color w:val="auto"/>
            <w:lang w:val="ro-RO"/>
          </w:rPr>
          <w:t>https://eur-lex.europa.eu/legal-content/EN/TXT/?uri=CELEX%3A32018D0937</w:t>
        </w:r>
      </w:hyperlink>
      <w:r w:rsidRPr="00646F2C">
        <w:rPr>
          <w:rFonts w:ascii="Times New Roman" w:hAnsi="Times New Roman" w:cs="Times New Roman"/>
          <w:lang w:val="ro-RO"/>
        </w:rPr>
        <w:t xml:space="preserve"> </w:t>
      </w:r>
    </w:p>
  </w:footnote>
  <w:footnote w:id="20">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 xml:space="preserve">European </w:t>
      </w:r>
      <w:r w:rsidRPr="00646F2C">
        <w:rPr>
          <w:rFonts w:ascii="Times New Roman" w:hAnsi="Times New Roman" w:cs="Times New Roman"/>
          <w:shd w:val="clear" w:color="auto" w:fill="FFFFFF"/>
          <w:lang w:val="ro-RO"/>
        </w:rPr>
        <w:t xml:space="preserve">Council Decision (EU, Euratom) 2018/994 of 13 July 2018 amending the Act concerning the election of the members of the European Parliament by direct universal suffrage, annexed to Council Decision 76/787/ECSC, EEC, Euratom of 20 September 1976. Sursă internet: </w:t>
      </w:r>
      <w:hyperlink r:id="rId4" w:history="1">
        <w:r w:rsidRPr="00646F2C">
          <w:rPr>
            <w:rStyle w:val="Hyperlink"/>
            <w:rFonts w:ascii="Times New Roman" w:hAnsi="Times New Roman" w:cs="Times New Roman"/>
            <w:color w:val="auto"/>
            <w:lang w:val="ro-RO"/>
          </w:rPr>
          <w:t>https://eur-lex.europa.eu/eli/dec/2018/994/oj</w:t>
        </w:r>
      </w:hyperlink>
    </w:p>
  </w:footnote>
  <w:footnote w:id="21">
    <w:p w:rsidR="00AC5E25" w:rsidRPr="00660816" w:rsidRDefault="00AC5E25" w:rsidP="001D5D94">
      <w:pPr>
        <w:pStyle w:val="FootnoteText"/>
        <w:jc w:val="both"/>
        <w:rPr>
          <w:rFonts w:asciiTheme="majorBidi" w:hAnsiTheme="majorBidi" w:cstheme="majorBidi"/>
          <w:color w:val="000000" w:themeColor="text1"/>
          <w:lang w:val="ro-RO"/>
        </w:rPr>
      </w:pPr>
      <w:r w:rsidRPr="00660816">
        <w:rPr>
          <w:rStyle w:val="FootnoteReference"/>
          <w:rFonts w:asciiTheme="majorBidi" w:hAnsiTheme="majorBidi" w:cstheme="majorBidi"/>
          <w:color w:val="000000" w:themeColor="text1"/>
        </w:rPr>
        <w:footnoteRef/>
      </w:r>
      <w:r w:rsidRPr="00660816">
        <w:rPr>
          <w:rFonts w:asciiTheme="majorBidi" w:hAnsiTheme="majorBidi" w:cstheme="majorBidi"/>
          <w:color w:val="000000" w:themeColor="text1"/>
        </w:rPr>
        <w:t xml:space="preserve"> </w:t>
      </w:r>
      <w:r w:rsidRPr="00660816">
        <w:rPr>
          <w:rFonts w:asciiTheme="majorBidi" w:hAnsiTheme="majorBidi" w:cstheme="majorBidi"/>
          <w:color w:val="000000" w:themeColor="text1"/>
          <w:lang w:val="ro-RO"/>
        </w:rPr>
        <w:t>Acesta este textul original al petiției: ”</w:t>
      </w:r>
      <w:r w:rsidRPr="00660816">
        <w:rPr>
          <w:rFonts w:asciiTheme="majorBidi" w:hAnsiTheme="majorBidi" w:cstheme="majorBidi"/>
          <w:color w:val="000000" w:themeColor="text1"/>
          <w:shd w:val="clear" w:color="auto" w:fill="FFFFFF"/>
        </w:rPr>
        <w:t xml:space="preserve">What are the conditions of registration for the parties and coalitions of parties for the European elections in </w:t>
      </w:r>
      <w:r>
        <w:rPr>
          <w:rFonts w:asciiTheme="majorBidi" w:hAnsiTheme="majorBidi" w:cstheme="majorBidi"/>
          <w:color w:val="000000" w:themeColor="text1"/>
          <w:shd w:val="clear" w:color="auto" w:fill="FFFFFF"/>
        </w:rPr>
        <w:t>(country)</w:t>
      </w:r>
      <w:r w:rsidRPr="00660816">
        <w:rPr>
          <w:rFonts w:asciiTheme="majorBidi" w:hAnsiTheme="majorBidi" w:cstheme="majorBidi"/>
          <w:color w:val="000000" w:themeColor="text1"/>
          <w:shd w:val="clear" w:color="auto" w:fill="FFFFFF"/>
        </w:rPr>
        <w:t xml:space="preserve">? Do they need to pay a deposit or gather signatures in order to be accepted as candidates? Is it allowed by the electoral law as an independent candidate to run in </w:t>
      </w:r>
      <w:r>
        <w:rPr>
          <w:rFonts w:asciiTheme="majorBidi" w:hAnsiTheme="majorBidi" w:cstheme="majorBidi"/>
          <w:color w:val="000000" w:themeColor="text1"/>
          <w:shd w:val="clear" w:color="auto" w:fill="FFFFFF"/>
        </w:rPr>
        <w:t>(country)</w:t>
      </w:r>
      <w:r w:rsidRPr="00660816">
        <w:rPr>
          <w:rFonts w:asciiTheme="majorBidi" w:hAnsiTheme="majorBidi" w:cstheme="majorBidi"/>
          <w:color w:val="000000" w:themeColor="text1"/>
          <w:shd w:val="clear" w:color="auto" w:fill="FFFFFF"/>
        </w:rPr>
        <w:t xml:space="preserve"> for a seat in European Parliament? If the answer is yes, are there any requirements in terms of a number of signatures or/and a cash deposit for enrollment in the electoral competition for the independent candidates?”</w:t>
      </w:r>
    </w:p>
  </w:footnote>
  <w:footnote w:id="22">
    <w:p w:rsidR="00AC5E25" w:rsidRPr="00660816" w:rsidRDefault="00AC5E25" w:rsidP="006E65E0">
      <w:pPr>
        <w:pStyle w:val="FootnoteText"/>
        <w:jc w:val="both"/>
        <w:rPr>
          <w:rFonts w:ascii="Times New Roman" w:hAnsi="Times New Roman" w:cs="Times New Roman"/>
          <w:color w:val="000000" w:themeColor="text1"/>
          <w:lang w:val="ro-RO"/>
        </w:rPr>
      </w:pPr>
      <w:r w:rsidRPr="00660816">
        <w:rPr>
          <w:rStyle w:val="FootnoteReference"/>
          <w:rFonts w:ascii="Times New Roman" w:hAnsi="Times New Roman" w:cs="Times New Roman"/>
          <w:color w:val="000000" w:themeColor="text1"/>
          <w:lang w:val="ro-RO"/>
        </w:rPr>
        <w:footnoteRef/>
      </w:r>
      <w:r w:rsidRPr="00660816">
        <w:rPr>
          <w:rFonts w:ascii="Times New Roman" w:hAnsi="Times New Roman" w:cs="Times New Roman"/>
          <w:color w:val="000000" w:themeColor="text1"/>
          <w:lang w:val="ro-RO"/>
        </w:rPr>
        <w:t xml:space="preserve"> </w:t>
      </w:r>
      <w:r w:rsidRPr="00660816">
        <w:rPr>
          <w:rFonts w:ascii="Times New Roman" w:hAnsi="Times New Roman" w:cs="Times New Roman"/>
          <w:color w:val="000000" w:themeColor="text1"/>
          <w:lang w:val="ro-RO"/>
        </w:rPr>
        <w:t xml:space="preserve">Surse internet: </w:t>
      </w:r>
      <w:hyperlink r:id="rId5" w:history="1">
        <w:r w:rsidRPr="00660816">
          <w:rPr>
            <w:rStyle w:val="Hyperlink"/>
            <w:rFonts w:ascii="Times New Roman" w:hAnsi="Times New Roman" w:cs="Times New Roman"/>
            <w:color w:val="000000" w:themeColor="text1"/>
            <w:lang w:val="ro-RO"/>
          </w:rPr>
          <w:t>http://aceproject.org/main/samples/pc/pcx_m004.pdf</w:t>
        </w:r>
      </w:hyperlink>
      <w:r w:rsidRPr="00660816">
        <w:rPr>
          <w:rFonts w:ascii="Times New Roman" w:hAnsi="Times New Roman" w:cs="Times New Roman"/>
          <w:color w:val="000000" w:themeColor="text1"/>
          <w:lang w:val="ro-RO"/>
        </w:rPr>
        <w:t xml:space="preserve"> și </w:t>
      </w:r>
      <w:hyperlink r:id="rId6" w:history="1">
        <w:r w:rsidRPr="00660816">
          <w:rPr>
            <w:rStyle w:val="Hyperlink"/>
            <w:rFonts w:ascii="Times New Roman" w:hAnsi="Times New Roman" w:cs="Times New Roman"/>
            <w:color w:val="000000" w:themeColor="text1"/>
            <w:lang w:val="ro-RO"/>
          </w:rPr>
          <w:t>https://www.val.se/for-partier/partibeteckning/registrera-partibeteckning.html</w:t>
        </w:r>
      </w:hyperlink>
      <w:r w:rsidRPr="00660816">
        <w:rPr>
          <w:rFonts w:ascii="Times New Roman" w:hAnsi="Times New Roman" w:cs="Times New Roman"/>
          <w:color w:val="000000" w:themeColor="text1"/>
          <w:lang w:val="ro-RO"/>
        </w:rPr>
        <w:t xml:space="preserve"> </w:t>
      </w:r>
    </w:p>
  </w:footnote>
  <w:footnote w:id="23">
    <w:p w:rsidR="00AC5E25" w:rsidRPr="00660816" w:rsidRDefault="00AC5E25" w:rsidP="006E65E0">
      <w:pPr>
        <w:pStyle w:val="FootnoteText"/>
        <w:jc w:val="both"/>
        <w:rPr>
          <w:rFonts w:ascii="Times New Roman" w:hAnsi="Times New Roman" w:cs="Times New Roman"/>
          <w:color w:val="000000" w:themeColor="text1"/>
          <w:lang w:val="ro-RO"/>
        </w:rPr>
      </w:pPr>
      <w:r w:rsidRPr="00660816">
        <w:rPr>
          <w:rStyle w:val="FootnoteReference"/>
          <w:rFonts w:ascii="Times New Roman" w:hAnsi="Times New Roman" w:cs="Times New Roman"/>
          <w:color w:val="000000" w:themeColor="text1"/>
          <w:lang w:val="ro-RO"/>
        </w:rPr>
        <w:footnoteRef/>
      </w:r>
      <w:r w:rsidRPr="00660816">
        <w:rPr>
          <w:rFonts w:ascii="Times New Roman" w:hAnsi="Times New Roman" w:cs="Times New Roman"/>
          <w:color w:val="000000" w:themeColor="text1"/>
          <w:lang w:val="ro-RO"/>
        </w:rPr>
        <w:t xml:space="preserve"> </w:t>
      </w:r>
      <w:hyperlink r:id="rId7" w:history="1">
        <w:r w:rsidRPr="00660816">
          <w:rPr>
            <w:rStyle w:val="Hyperlink"/>
            <w:rFonts w:ascii="Times New Roman" w:hAnsi="Times New Roman" w:cs="Times New Roman"/>
            <w:color w:val="000000" w:themeColor="text1"/>
            <w:lang w:val="ro-RO"/>
          </w:rPr>
          <w:t>https://vaalit.fi/en/establishment-of-a-party</w:t>
        </w:r>
      </w:hyperlink>
      <w:r w:rsidRPr="00660816">
        <w:rPr>
          <w:rFonts w:ascii="Times New Roman" w:hAnsi="Times New Roman" w:cs="Times New Roman"/>
          <w:color w:val="000000" w:themeColor="text1"/>
          <w:lang w:val="ro-RO"/>
        </w:rPr>
        <w:t xml:space="preserve"> </w:t>
      </w:r>
    </w:p>
  </w:footnote>
  <w:footnote w:id="24">
    <w:p w:rsidR="00AC5E25" w:rsidRPr="00660816" w:rsidRDefault="00AC5E25" w:rsidP="006E65E0">
      <w:pPr>
        <w:pStyle w:val="FootnoteText"/>
        <w:jc w:val="both"/>
        <w:rPr>
          <w:rFonts w:ascii="Times New Roman" w:hAnsi="Times New Roman" w:cs="Times New Roman"/>
          <w:color w:val="000000" w:themeColor="text1"/>
          <w:lang w:val="ro-RO"/>
        </w:rPr>
      </w:pPr>
      <w:r w:rsidRPr="00660816">
        <w:rPr>
          <w:rStyle w:val="FootnoteReference"/>
          <w:rFonts w:ascii="Times New Roman" w:hAnsi="Times New Roman" w:cs="Times New Roman"/>
          <w:color w:val="000000" w:themeColor="text1"/>
          <w:lang w:val="ro-RO"/>
        </w:rPr>
        <w:footnoteRef/>
      </w:r>
      <w:r w:rsidRPr="00660816">
        <w:rPr>
          <w:rFonts w:ascii="Times New Roman" w:hAnsi="Times New Roman" w:cs="Times New Roman"/>
          <w:color w:val="000000" w:themeColor="text1"/>
          <w:lang w:val="ro-RO"/>
        </w:rPr>
        <w:t xml:space="preserve"> </w:t>
      </w:r>
      <w:r w:rsidRPr="00660816">
        <w:rPr>
          <w:rFonts w:ascii="Times New Roman" w:hAnsi="Times New Roman" w:cs="Times New Roman"/>
          <w:color w:val="000000" w:themeColor="text1"/>
          <w:lang w:val="ro-RO"/>
        </w:rPr>
        <w:t>Traducerea răspunsului nr. D/323/2019 de la Comisia Naționlă pentru Alegeri a Portugaliei (</w:t>
      </w:r>
      <w:r w:rsidRPr="00660816">
        <w:rPr>
          <w:rFonts w:ascii="Times New Roman" w:hAnsi="Times New Roman" w:cs="Times New Roman"/>
          <w:color w:val="000000" w:themeColor="text1"/>
          <w:shd w:val="clear" w:color="auto" w:fill="FFFFFF"/>
          <w:lang w:val="ro-RO"/>
        </w:rPr>
        <w:t>Comissão Nacional de Eleições).</w:t>
      </w:r>
    </w:p>
  </w:footnote>
  <w:footnote w:id="25">
    <w:p w:rsidR="00AC5E25" w:rsidRPr="00646F2C" w:rsidRDefault="00AC5E25" w:rsidP="006E65E0">
      <w:pPr>
        <w:pStyle w:val="FootnoteText"/>
        <w:jc w:val="both"/>
        <w:rPr>
          <w:rFonts w:ascii="Times New Roman" w:hAnsi="Times New Roman" w:cs="Times New Roman"/>
          <w:lang w:val="ro-RO"/>
        </w:rPr>
      </w:pPr>
      <w:r w:rsidRPr="00660816">
        <w:rPr>
          <w:rStyle w:val="FootnoteReference"/>
          <w:rFonts w:ascii="Times New Roman" w:hAnsi="Times New Roman" w:cs="Times New Roman"/>
          <w:color w:val="000000" w:themeColor="text1"/>
          <w:lang w:val="ro-RO"/>
        </w:rPr>
        <w:footnoteRef/>
      </w:r>
      <w:r>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Sursă internet: </w:t>
      </w:r>
      <w:r w:rsidRPr="00660816">
        <w:rPr>
          <w:rFonts w:ascii="Times New Roman" w:hAnsi="Times New Roman" w:cs="Times New Roman"/>
          <w:color w:val="000000" w:themeColor="text1"/>
          <w:lang w:val="ro-RO"/>
        </w:rPr>
        <w:t>https://www.citizensinformation.ie/en/government_in_ireland/national_governm</w:t>
      </w:r>
      <w:r w:rsidRPr="00646F2C">
        <w:rPr>
          <w:rFonts w:ascii="Times New Roman" w:hAnsi="Times New Roman" w:cs="Times New Roman"/>
          <w:lang w:val="ro-RO"/>
        </w:rPr>
        <w:t>ent/houses_of_the_oireachtas/registering_a_political_party.html</w:t>
      </w:r>
    </w:p>
  </w:footnote>
  <w:footnote w:id="26">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Pr>
          <w:rFonts w:ascii="Times New Roman" w:hAnsi="Times New Roman" w:cs="Times New Roman"/>
          <w:lang w:val="ro-RO"/>
        </w:rPr>
        <w:t xml:space="preserve"> </w:t>
      </w:r>
      <w:r>
        <w:rPr>
          <w:rFonts w:ascii="Times New Roman" w:hAnsi="Times New Roman" w:cs="Times New Roman"/>
          <w:lang w:val="ro-RO"/>
        </w:rPr>
        <w:t>Sursă internet:</w:t>
      </w:r>
      <w:r w:rsidRPr="00646F2C">
        <w:rPr>
          <w:rFonts w:ascii="Times New Roman" w:hAnsi="Times New Roman" w:cs="Times New Roman"/>
          <w:lang w:val="ro-RO"/>
        </w:rPr>
        <w:t xml:space="preserve"> </w:t>
      </w:r>
      <w:hyperlink r:id="rId8" w:history="1">
        <w:r w:rsidRPr="00646F2C">
          <w:rPr>
            <w:rStyle w:val="Hyperlink"/>
            <w:rFonts w:ascii="Times New Roman" w:hAnsi="Times New Roman" w:cs="Times New Roman"/>
            <w:color w:val="auto"/>
            <w:lang w:val="ro-RO"/>
          </w:rPr>
          <w:t>https://www.sabor.hr/en/political-parties-act</w:t>
        </w:r>
      </w:hyperlink>
      <w:r w:rsidRPr="00646F2C">
        <w:rPr>
          <w:rFonts w:ascii="Times New Roman" w:hAnsi="Times New Roman" w:cs="Times New Roman"/>
          <w:lang w:val="ro-RO"/>
        </w:rPr>
        <w:t xml:space="preserve"> </w:t>
      </w:r>
    </w:p>
  </w:footnote>
  <w:footnote w:id="27">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(Art.10 (1))(2)</w:t>
      </w:r>
      <w:r>
        <w:rPr>
          <w:rFonts w:ascii="Times New Roman" w:hAnsi="Times New Roman" w:cs="Times New Roman"/>
          <w:lang w:val="ro-RO"/>
        </w:rPr>
        <w:t xml:space="preserve"> Sursă internet: </w:t>
      </w:r>
      <w:hyperlink r:id="rId9" w:history="1">
        <w:r w:rsidRPr="00223142">
          <w:rPr>
            <w:rStyle w:val="Hyperlink"/>
            <w:rFonts w:ascii="Times New Roman" w:hAnsi="Times New Roman" w:cs="Times New Roman"/>
            <w:lang w:val="ro-RO"/>
          </w:rPr>
          <w:t>https://elections.oim.dk/media/10511/consolidated-act-ep-elections-2014.pdf</w:t>
        </w:r>
      </w:hyperlink>
      <w:r>
        <w:rPr>
          <w:rFonts w:ascii="Times New Roman" w:hAnsi="Times New Roman" w:cs="Times New Roman"/>
          <w:lang w:val="ro-RO"/>
        </w:rPr>
        <w:t xml:space="preserve"> </w:t>
      </w:r>
    </w:p>
  </w:footnote>
  <w:footnote w:id="28">
    <w:p w:rsidR="00AC5E25" w:rsidRPr="00646F2C" w:rsidRDefault="00AC5E25" w:rsidP="004D2835">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w:t>
      </w:r>
      <w:r w:rsidR="003569C4">
        <w:rPr>
          <w:rFonts w:ascii="Times New Roman" w:hAnsi="Times New Roman" w:cs="Times New Roman"/>
          <w:lang w:val="ro-RO"/>
        </w:rPr>
        <w:t>Această</w:t>
      </w:r>
      <w:r w:rsidRPr="00646F2C">
        <w:rPr>
          <w:rFonts w:ascii="Times New Roman" w:hAnsi="Times New Roman" w:cs="Times New Roman"/>
          <w:lang w:val="ro-RO"/>
        </w:rPr>
        <w:t xml:space="preserve"> excepție </w:t>
      </w:r>
      <w:r>
        <w:rPr>
          <w:rFonts w:ascii="Times New Roman" w:hAnsi="Times New Roman" w:cs="Times New Roman"/>
          <w:lang w:val="ro-RO"/>
        </w:rPr>
        <w:t>e</w:t>
      </w:r>
      <w:r w:rsidR="00785ACC">
        <w:rPr>
          <w:rFonts w:ascii="Times New Roman" w:hAnsi="Times New Roman" w:cs="Times New Roman"/>
          <w:lang w:val="ro-RO"/>
        </w:rPr>
        <w:t>ste valabilă exclusiv pen</w:t>
      </w:r>
      <w:r w:rsidRPr="00646F2C">
        <w:rPr>
          <w:rFonts w:ascii="Times New Roman" w:hAnsi="Times New Roman" w:cs="Times New Roman"/>
          <w:lang w:val="ro-RO"/>
        </w:rPr>
        <w:t xml:space="preserve">tru partidele neînregistrate, cu statut mai mult de asociații, nu și pentru partidele înregistrate, cu drepturi depline. </w:t>
      </w:r>
      <w:r w:rsidR="00785ACC">
        <w:rPr>
          <w:rFonts w:ascii="Times New Roman" w:hAnsi="Times New Roman" w:cs="Times New Roman"/>
          <w:lang w:val="ro-RO"/>
        </w:rPr>
        <w:t xml:space="preserve">Diferența dintre acestea fiind dreptule exclusive asupra denumirii și asupra altor aspecte ce țin de indentitatea unui partid. </w:t>
      </w:r>
    </w:p>
  </w:footnote>
  <w:footnote w:id="29">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 xml:space="preserve">Eiropas Parlamenta vēlēšanu likums, </w:t>
      </w:r>
      <w:hyperlink r:id="rId10" w:tgtFrame="_blank" w:history="1">
        <w:r w:rsidRPr="00646F2C">
          <w:rPr>
            <w:rStyle w:val="Hyperlink"/>
            <w:rFonts w:ascii="Times New Roman" w:hAnsi="Times New Roman" w:cs="Times New Roman"/>
            <w:color w:val="auto"/>
            <w:lang w:val="ro-RO"/>
          </w:rPr>
          <w:t>Latvijas Vēstnesis</w:t>
        </w:r>
      </w:hyperlink>
      <w:r w:rsidRPr="00646F2C">
        <w:rPr>
          <w:rFonts w:ascii="Times New Roman" w:hAnsi="Times New Roman" w:cs="Times New Roman"/>
          <w:lang w:val="ro-RO"/>
        </w:rPr>
        <w:t xml:space="preserve">, 22 (2970), 11.02.2004.; Latvijas Republikas Saeimas un Ministru Kabineta Ziņotājs, 5, 11.03.2004. Sursă internet: </w:t>
      </w:r>
      <w:hyperlink r:id="rId11" w:history="1">
        <w:r w:rsidRPr="00646F2C">
          <w:rPr>
            <w:rStyle w:val="Hyperlink"/>
            <w:rFonts w:ascii="Times New Roman" w:hAnsi="Times New Roman" w:cs="Times New Roman"/>
            <w:color w:val="auto"/>
            <w:lang w:val="ro-RO"/>
          </w:rPr>
          <w:t>https://likumi.lv/doc.php?id=84185</w:t>
        </w:r>
      </w:hyperlink>
      <w:r w:rsidRPr="00646F2C">
        <w:rPr>
          <w:rFonts w:ascii="Times New Roman" w:hAnsi="Times New Roman" w:cs="Times New Roman"/>
          <w:lang w:val="ro-RO"/>
        </w:rPr>
        <w:t xml:space="preserve"> </w:t>
      </w:r>
    </w:p>
  </w:footnote>
  <w:footnote w:id="30">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 xml:space="preserve">Baza de date a </w:t>
      </w:r>
      <w:r w:rsidRPr="00646F2C">
        <w:rPr>
          <w:rFonts w:ascii="Times New Roman" w:hAnsi="Times New Roman" w:cs="Times New Roman"/>
          <w:i/>
          <w:lang w:val="ro-RO"/>
        </w:rPr>
        <w:t>The International Institute for Democracy and Electoral Assistance (International IDEA)</w:t>
      </w:r>
      <w:r w:rsidRPr="00646F2C">
        <w:rPr>
          <w:rFonts w:ascii="Times New Roman" w:hAnsi="Times New Roman" w:cs="Times New Roman"/>
          <w:lang w:val="ro-RO"/>
        </w:rPr>
        <w:t xml:space="preserve">. Sursă internet: </w:t>
      </w:r>
      <w:hyperlink r:id="rId12" w:history="1">
        <w:r w:rsidRPr="00646F2C">
          <w:rPr>
            <w:rStyle w:val="Hyperlink"/>
            <w:rFonts w:ascii="Times New Roman" w:hAnsi="Times New Roman" w:cs="Times New Roman"/>
            <w:color w:val="auto"/>
            <w:lang w:val="ro-RO"/>
          </w:rPr>
          <w:t>https://www.idea.int/data-tools/country-view/94/40</w:t>
        </w:r>
      </w:hyperlink>
    </w:p>
  </w:footnote>
  <w:footnote w:id="31">
    <w:p w:rsidR="00DF5A61" w:rsidRPr="00646F2C" w:rsidRDefault="00DF5A61" w:rsidP="00DF5A61">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 xml:space="preserve">Baza de date a </w:t>
      </w:r>
      <w:r w:rsidRPr="00646F2C">
        <w:rPr>
          <w:rFonts w:ascii="Times New Roman" w:hAnsi="Times New Roman" w:cs="Times New Roman"/>
          <w:i/>
          <w:lang w:val="ro-RO"/>
        </w:rPr>
        <w:t>The International Institute for Democracy and Electoral Assistance (International IDEA)</w:t>
      </w:r>
      <w:r w:rsidRPr="00646F2C">
        <w:rPr>
          <w:rFonts w:ascii="Times New Roman" w:hAnsi="Times New Roman" w:cs="Times New Roman"/>
          <w:lang w:val="ro-RO"/>
        </w:rPr>
        <w:t xml:space="preserve">. Sursă internet: </w:t>
      </w:r>
      <w:hyperlink r:id="rId13" w:history="1">
        <w:r w:rsidRPr="00646F2C">
          <w:rPr>
            <w:rStyle w:val="Hyperlink"/>
            <w:rFonts w:ascii="Times New Roman" w:hAnsi="Times New Roman" w:cs="Times New Roman"/>
            <w:color w:val="auto"/>
            <w:lang w:val="ro-RO"/>
          </w:rPr>
          <w:t>https://www.idea.int/data-tools/country-view/252/40</w:t>
        </w:r>
      </w:hyperlink>
      <w:r w:rsidRPr="00646F2C">
        <w:rPr>
          <w:rFonts w:ascii="Times New Roman" w:hAnsi="Times New Roman" w:cs="Times New Roman"/>
          <w:lang w:val="ro-RO"/>
        </w:rPr>
        <w:t xml:space="preserve"> </w:t>
      </w:r>
    </w:p>
  </w:footnote>
  <w:footnote w:id="32">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Style w:val="Strong"/>
          <w:rFonts w:ascii="Times New Roman" w:hAnsi="Times New Roman" w:cs="Times New Roman"/>
          <w:b w:val="0"/>
          <w:bCs w:val="0"/>
          <w:shd w:val="clear" w:color="auto" w:fill="FFFFFF"/>
          <w:lang w:val="ro-RO"/>
        </w:rPr>
        <w:t>Loi no 77-729 du 7 juillet 1977 relative à l'élection des représentants au Parlement européen.</w:t>
      </w:r>
      <w:r w:rsidRPr="00646F2C">
        <w:rPr>
          <w:rFonts w:ascii="Times New Roman" w:hAnsi="Times New Roman" w:cs="Times New Roman"/>
          <w:shd w:val="clear" w:color="auto" w:fill="FFFFFF"/>
          <w:lang w:val="ro-RO"/>
        </w:rPr>
        <w:t> </w:t>
      </w:r>
      <w:r w:rsidRPr="00646F2C">
        <w:rPr>
          <w:rFonts w:ascii="Times New Roman" w:hAnsi="Times New Roman" w:cs="Times New Roman"/>
          <w:lang w:val="ro-RO"/>
        </w:rPr>
        <w:t xml:space="preserve">Articolul 9, alin.1. </w:t>
      </w:r>
      <w:r w:rsidR="00CE4E07">
        <w:fldChar w:fldCharType="begin"/>
      </w:r>
      <w:r w:rsidR="00CE4E07">
        <w:instrText xml:space="preserve"> HYPERLINK "https://www.legifrance.gouv.fr/affichTexte.do?cidTexte=LEGITEXT000006068600" </w:instrText>
      </w:r>
      <w:r w:rsidR="00CE4E07">
        <w:fldChar w:fldCharType="separate"/>
      </w:r>
      <w:r w:rsidRPr="00646F2C">
        <w:rPr>
          <w:rStyle w:val="Hyperlink"/>
          <w:rFonts w:ascii="Times New Roman" w:hAnsi="Times New Roman" w:cs="Times New Roman"/>
          <w:color w:val="auto"/>
          <w:lang w:val="ro-RO"/>
        </w:rPr>
        <w:t>https://www.legifrance.gouv.fr/affichTexte.do?cidTexte=LEGITEXT000006068600</w:t>
      </w:r>
      <w:r w:rsidR="00CE4E07">
        <w:rPr>
          <w:rStyle w:val="Hyperlink"/>
          <w:rFonts w:ascii="Times New Roman" w:hAnsi="Times New Roman" w:cs="Times New Roman"/>
          <w:color w:val="auto"/>
          <w:lang w:val="ro-RO"/>
        </w:rPr>
        <w:fldChar w:fldCharType="end"/>
      </w:r>
      <w:r w:rsidRPr="00646F2C">
        <w:rPr>
          <w:rFonts w:ascii="Times New Roman" w:hAnsi="Times New Roman" w:cs="Times New Roman"/>
          <w:lang w:val="ro-RO"/>
        </w:rPr>
        <w:t xml:space="preserve"> </w:t>
      </w:r>
    </w:p>
  </w:footnote>
  <w:footnote w:id="33">
    <w:p w:rsidR="00AC5E25" w:rsidRPr="002E14A4" w:rsidRDefault="00AC5E25" w:rsidP="002E14A4">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Pr>
          <w:rFonts w:ascii="Times New Roman" w:hAnsi="Times New Roman" w:cs="Times New Roman"/>
          <w:lang w:val="ro-RO"/>
        </w:rPr>
        <w:t>Răspunsul Autorității Electorale a Suediei: ”</w:t>
      </w:r>
      <w:r w:rsidRPr="002E14A4">
        <w:rPr>
          <w:rFonts w:ascii="Times New Roman" w:hAnsi="Times New Roman" w:cs="Times New Roman"/>
          <w:lang w:val="ro-RO"/>
        </w:rPr>
        <w:t>The Swedish electoral system is based on parties. Each party nominates candidates and list them on the party´s ballot. Each party has their own ballot and the voter chooses which one to submit. The voter has the option to mark the candidate that he wishes to vote for. If the voter doesn´t mark any of the candidates, this is the most common case, the vote goes to the party of the ballot and the candidate chosen by the party. It is therefore not possible to run as an independent candidate. It is, on the other hand, quite easy to form a political party. There is no fee or requirement of cash deposit or any number of signatures for a political party to enroll in the election.</w:t>
      </w:r>
      <w:r>
        <w:rPr>
          <w:rFonts w:ascii="Times New Roman" w:hAnsi="Times New Roman" w:cs="Times New Roman"/>
          <w:lang w:val="ro-RO"/>
        </w:rPr>
        <w:t>”</w:t>
      </w:r>
    </w:p>
  </w:footnote>
  <w:footnote w:id="34">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 xml:space="preserve">Number of votes per party, 2009. </w:t>
      </w:r>
      <w:r w:rsidR="00CE4E07">
        <w:fldChar w:fldCharType="begin"/>
      </w:r>
      <w:r w:rsidR="00CE4E07">
        <w:instrText xml:space="preserve"> HYPERLINK "https://english.kiesraad.nl/publications/reports/2009/results-european-parliament-2009/results-european-parliament-2009/number-of-votes-per-party-ep-2009" </w:instrText>
      </w:r>
      <w:r w:rsidR="00CE4E07">
        <w:fldChar w:fldCharType="separate"/>
      </w:r>
      <w:r w:rsidRPr="00646F2C">
        <w:rPr>
          <w:rStyle w:val="Hyperlink"/>
          <w:rFonts w:ascii="Times New Roman" w:hAnsi="Times New Roman" w:cs="Times New Roman"/>
          <w:color w:val="auto"/>
          <w:lang w:val="ro-RO"/>
        </w:rPr>
        <w:t>https://english.kiesraad.nl/publications/reports/2009/results-european-parliament-2009/results-european-parliament-2009/number-of-votes-per-party-ep-2009</w:t>
      </w:r>
      <w:r w:rsidR="00CE4E07">
        <w:rPr>
          <w:rStyle w:val="Hyperlink"/>
          <w:rFonts w:ascii="Times New Roman" w:hAnsi="Times New Roman" w:cs="Times New Roman"/>
          <w:color w:val="auto"/>
          <w:lang w:val="ro-RO"/>
        </w:rPr>
        <w:fldChar w:fldCharType="end"/>
      </w:r>
      <w:r w:rsidRPr="00646F2C">
        <w:rPr>
          <w:rFonts w:ascii="Times New Roman" w:hAnsi="Times New Roman" w:cs="Times New Roman"/>
          <w:lang w:val="ro-RO"/>
        </w:rPr>
        <w:t xml:space="preserve"> </w:t>
      </w:r>
    </w:p>
  </w:footnote>
  <w:footnote w:id="35">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p>
  </w:footnote>
  <w:footnote w:id="36">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 xml:space="preserve">Art.341, alin.3) </w:t>
      </w:r>
      <w:hyperlink r:id="rId14" w:history="1">
        <w:r w:rsidRPr="00646F2C">
          <w:rPr>
            <w:rStyle w:val="Hyperlink"/>
            <w:rFonts w:ascii="Times New Roman" w:hAnsi="Times New Roman" w:cs="Times New Roman"/>
            <w:color w:val="auto"/>
            <w:lang w:val="ro-RO"/>
          </w:rPr>
          <w:t>https://pkw.gov.pl/pliki/1550151251_kodeks_wyborczy_-_2019_02_14.pdf</w:t>
        </w:r>
      </w:hyperlink>
      <w:r w:rsidRPr="00646F2C">
        <w:rPr>
          <w:rFonts w:ascii="Times New Roman" w:hAnsi="Times New Roman" w:cs="Times New Roman"/>
          <w:lang w:val="ro-RO"/>
        </w:rPr>
        <w:t xml:space="preserve"> </w:t>
      </w:r>
    </w:p>
  </w:footnote>
  <w:footnote w:id="37">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OSCE recomandă insistent acestor țări să dea posibilitea independenților să candideze.</w:t>
      </w:r>
    </w:p>
  </w:footnote>
  <w:footnote w:id="38">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i/>
          <w:lang w:val="ro-RO"/>
        </w:rPr>
        <w:t>Propunerea legislativă pentru legerea reprezentanţilor României în Parlamentul European</w:t>
      </w:r>
      <w:r w:rsidRPr="00646F2C">
        <w:rPr>
          <w:rFonts w:ascii="Times New Roman" w:hAnsi="Times New Roman" w:cs="Times New Roman"/>
          <w:lang w:val="ro-RO"/>
        </w:rPr>
        <w:t>, forma inițiatorului, înregistrată cu numărul B605 la Senat, în data de 26 octombrie 2006. Sursă internet:</w:t>
      </w:r>
    </w:p>
    <w:p w:rsidR="00AC5E25" w:rsidRPr="00646F2C" w:rsidRDefault="00CE4E07" w:rsidP="006E65E0">
      <w:pPr>
        <w:pStyle w:val="FootnoteText"/>
        <w:jc w:val="both"/>
        <w:rPr>
          <w:rFonts w:ascii="Times New Roman" w:hAnsi="Times New Roman" w:cs="Times New Roman"/>
          <w:lang w:val="ro-RO"/>
        </w:rPr>
      </w:pPr>
      <w:hyperlink r:id="rId15" w:history="1">
        <w:r w:rsidR="00AC5E25" w:rsidRPr="00646F2C">
          <w:rPr>
            <w:rStyle w:val="Hyperlink"/>
            <w:rFonts w:ascii="Times New Roman" w:hAnsi="Times New Roman" w:cs="Times New Roman"/>
            <w:color w:val="auto"/>
            <w:lang w:val="ro-RO"/>
          </w:rPr>
          <w:t>https://senat.ro/legis/PDF/2006/06L878FG.pdf</w:t>
        </w:r>
      </w:hyperlink>
      <w:r w:rsidR="00AC5E25" w:rsidRPr="00646F2C">
        <w:rPr>
          <w:rFonts w:ascii="Times New Roman" w:hAnsi="Times New Roman" w:cs="Times New Roman"/>
          <w:lang w:val="ro-RO"/>
        </w:rPr>
        <w:t xml:space="preserve">. </w:t>
      </w:r>
    </w:p>
  </w:footnote>
  <w:footnote w:id="39">
    <w:p w:rsidR="00AC5E25" w:rsidRPr="00646F2C" w:rsidRDefault="00AC5E25" w:rsidP="006E65E0">
      <w:pPr>
        <w:pStyle w:val="NormalWeb"/>
        <w:spacing w:before="0" w:beforeAutospacing="0" w:after="0" w:afterAutospacing="0"/>
        <w:jc w:val="both"/>
        <w:rPr>
          <w:sz w:val="20"/>
          <w:szCs w:val="20"/>
          <w:lang w:val="ro-RO"/>
        </w:rPr>
      </w:pPr>
      <w:r w:rsidRPr="00646F2C">
        <w:rPr>
          <w:rStyle w:val="FootnoteReference"/>
          <w:sz w:val="20"/>
          <w:szCs w:val="20"/>
          <w:lang w:val="ro-RO"/>
        </w:rPr>
        <w:footnoteRef/>
      </w:r>
      <w:r w:rsidRPr="00646F2C">
        <w:rPr>
          <w:sz w:val="20"/>
          <w:szCs w:val="20"/>
          <w:lang w:val="ro-RO"/>
        </w:rPr>
        <w:t xml:space="preserve"> </w:t>
      </w:r>
      <w:r w:rsidRPr="00646F2C">
        <w:rPr>
          <w:rStyle w:val="headline"/>
          <w:sz w:val="20"/>
          <w:szCs w:val="20"/>
          <w:lang w:val="ro-RO"/>
        </w:rPr>
        <w:t xml:space="preserve">Şedinţa Senatului din 22 noiembrie 2006, </w:t>
      </w:r>
      <w:r w:rsidRPr="00646F2C">
        <w:rPr>
          <w:sz w:val="20"/>
          <w:szCs w:val="20"/>
          <w:lang w:val="ro-RO"/>
        </w:rPr>
        <w:t xml:space="preserve">Dezbaterea şi respingerea Propunerii legislative pentru alegerea reprezentanţilor României în Parlamentul European. Sursă internet: </w:t>
      </w:r>
      <w:hyperlink r:id="rId16" w:history="1">
        <w:r w:rsidRPr="00646F2C">
          <w:rPr>
            <w:rStyle w:val="Hyperlink"/>
            <w:color w:val="auto"/>
            <w:sz w:val="20"/>
            <w:szCs w:val="20"/>
            <w:lang w:val="ro-RO"/>
          </w:rPr>
          <w:t>http://www.cdep.ro/pls/steno/steno.stenograma?ids=6203&amp;idm=10</w:t>
        </w:r>
      </w:hyperlink>
    </w:p>
  </w:footnote>
  <w:footnote w:id="40">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hyperlink r:id="rId17" w:history="1">
        <w:r w:rsidRPr="00646F2C">
          <w:rPr>
            <w:rStyle w:val="Hyperlink"/>
            <w:rFonts w:ascii="Times New Roman" w:hAnsi="Times New Roman" w:cs="Times New Roman"/>
            <w:color w:val="auto"/>
            <w:lang w:val="ro-RO"/>
          </w:rPr>
          <w:t>http://www.roaep.ro/legislatie/wp-content/uploads/2004/01/Legea_67.pdf</w:t>
        </w:r>
      </w:hyperlink>
      <w:r w:rsidRPr="00646F2C">
        <w:rPr>
          <w:rFonts w:ascii="Times New Roman" w:hAnsi="Times New Roman" w:cs="Times New Roman"/>
          <w:lang w:val="ro-RO"/>
        </w:rPr>
        <w:t xml:space="preserve"> </w:t>
      </w:r>
    </w:p>
  </w:footnote>
  <w:footnote w:id="41">
    <w:p w:rsidR="00AC5E25" w:rsidRPr="00646F2C" w:rsidRDefault="00AC5E25" w:rsidP="006E65E0">
      <w:pPr>
        <w:spacing w:after="0" w:line="240" w:lineRule="auto"/>
        <w:jc w:val="both"/>
        <w:rPr>
          <w:rFonts w:ascii="Times New Roman" w:hAnsi="Times New Roman" w:cs="Times New Roman"/>
          <w:sz w:val="20"/>
          <w:szCs w:val="20"/>
          <w:lang w:val="ro-RO"/>
        </w:rPr>
      </w:pPr>
      <w:r w:rsidRPr="00646F2C">
        <w:rPr>
          <w:rStyle w:val="FootnoteReference"/>
          <w:rFonts w:ascii="Times New Roman" w:hAnsi="Times New Roman" w:cs="Times New Roman"/>
          <w:sz w:val="20"/>
          <w:szCs w:val="20"/>
          <w:lang w:val="ro-RO"/>
        </w:rPr>
        <w:footnoteRef/>
      </w:r>
      <w:r w:rsidRPr="00646F2C">
        <w:rPr>
          <w:rFonts w:ascii="Times New Roman" w:hAnsi="Times New Roman" w:cs="Times New Roman"/>
          <w:sz w:val="20"/>
          <w:szCs w:val="20"/>
          <w:lang w:val="ro-RO"/>
        </w:rPr>
        <w:t xml:space="preserve"> </w:t>
      </w:r>
      <w:r w:rsidRPr="00646F2C">
        <w:rPr>
          <w:rStyle w:val="headline"/>
          <w:rFonts w:ascii="Times New Roman" w:hAnsi="Times New Roman" w:cs="Times New Roman"/>
          <w:sz w:val="20"/>
          <w:szCs w:val="20"/>
          <w:lang w:val="ro-RO"/>
        </w:rPr>
        <w:t xml:space="preserve">Şedinţa Senatului din 22 noiembrie 2006, </w:t>
      </w:r>
      <w:r w:rsidRPr="00646F2C">
        <w:rPr>
          <w:rFonts w:ascii="Times New Roman" w:hAnsi="Times New Roman" w:cs="Times New Roman"/>
          <w:sz w:val="20"/>
          <w:szCs w:val="20"/>
          <w:lang w:val="ro-RO"/>
        </w:rPr>
        <w:t xml:space="preserve">Dezbaterea şi respingerea Propunerii legislative pentru alegerea reprezentanţilor României în Parlamentul European. Sursă internet: </w:t>
      </w:r>
      <w:hyperlink r:id="rId18" w:history="1">
        <w:r w:rsidRPr="00646F2C">
          <w:rPr>
            <w:rStyle w:val="Hyperlink"/>
            <w:rFonts w:ascii="Times New Roman" w:hAnsi="Times New Roman" w:cs="Times New Roman"/>
            <w:color w:val="auto"/>
            <w:sz w:val="20"/>
            <w:szCs w:val="20"/>
            <w:lang w:val="ro-RO"/>
          </w:rPr>
          <w:t>http://www.cdep.ro/pls/steno/steno.stenograma?ids=6203&amp;idm=10</w:t>
        </w:r>
      </w:hyperlink>
    </w:p>
  </w:footnote>
  <w:footnote w:id="42">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Şedinţa Camerei Deputaţilor din 19 decembrie 2006, Dezbaterea Propunerii legislative pentru alegerea reprezentanţilor României în Parlamentul European şi a Propunerii legislative privind organizarea şi desfăşurarea alegerilor pentru Parlamentul European (</w:t>
      </w:r>
      <w:r w:rsidRPr="00646F2C">
        <w:rPr>
          <w:rFonts w:ascii="Times New Roman" w:hAnsi="Times New Roman" w:cs="Times New Roman"/>
          <w:i/>
          <w:iCs/>
          <w:lang w:val="ro-RO"/>
        </w:rPr>
        <w:t>rămasă pentru votul final</w:t>
      </w:r>
      <w:r w:rsidRPr="00646F2C">
        <w:rPr>
          <w:rFonts w:ascii="Times New Roman" w:hAnsi="Times New Roman" w:cs="Times New Roman"/>
          <w:lang w:val="ro-RO"/>
        </w:rPr>
        <w:t xml:space="preserve">). Amendament propus de către deputatul Petru Călian.  Sursă internet: </w:t>
      </w:r>
      <w:hyperlink r:id="rId19" w:history="1">
        <w:r w:rsidRPr="00646F2C">
          <w:rPr>
            <w:rStyle w:val="Hyperlink"/>
            <w:rFonts w:ascii="Times New Roman" w:hAnsi="Times New Roman" w:cs="Times New Roman"/>
            <w:color w:val="auto"/>
            <w:lang w:val="ro-RO"/>
          </w:rPr>
          <w:t>http://www.cdep.ro/pls/steno/steno.stenograma?ids=6223&amp;idm=5</w:t>
        </w:r>
      </w:hyperlink>
      <w:r w:rsidRPr="00646F2C">
        <w:rPr>
          <w:rFonts w:ascii="Times New Roman" w:hAnsi="Times New Roman" w:cs="Times New Roman"/>
          <w:lang w:val="ro-RO"/>
        </w:rPr>
        <w:t xml:space="preserve"> </w:t>
      </w:r>
    </w:p>
  </w:footnote>
  <w:footnote w:id="43">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w:t>
      </w:r>
      <w:r w:rsidRPr="00646F2C">
        <w:rPr>
          <w:rStyle w:val="headline"/>
          <w:rFonts w:ascii="Times New Roman" w:hAnsi="Times New Roman" w:cs="Times New Roman"/>
          <w:lang w:val="ro-RO"/>
        </w:rPr>
        <w:t xml:space="preserve">Şedinţa Senatului din 22 noiembrie 2006, </w:t>
      </w:r>
      <w:r w:rsidRPr="00646F2C">
        <w:rPr>
          <w:rFonts w:ascii="Times New Roman" w:hAnsi="Times New Roman" w:cs="Times New Roman"/>
          <w:lang w:val="ro-RO"/>
        </w:rPr>
        <w:t xml:space="preserve">Dezbaterea şi respingerea Propunerii legislative pentru alegerea reprezentanţilor României în Parlamentul European. Sursă internet: </w:t>
      </w:r>
      <w:hyperlink r:id="rId20" w:history="1">
        <w:r w:rsidRPr="00646F2C">
          <w:rPr>
            <w:rStyle w:val="Hyperlink"/>
            <w:rFonts w:ascii="Times New Roman" w:hAnsi="Times New Roman" w:cs="Times New Roman"/>
            <w:color w:val="auto"/>
            <w:lang w:val="ro-RO"/>
          </w:rPr>
          <w:t>http://www.cdep.ro/pls/steno/steno.stenograma?ids=6203&amp;idm=10</w:t>
        </w:r>
      </w:hyperlink>
    </w:p>
  </w:footnote>
  <w:footnote w:id="44">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lang w:val="ro-RO"/>
        </w:rPr>
        <w:footnoteRef/>
      </w:r>
      <w:r w:rsidRPr="00646F2C">
        <w:rPr>
          <w:rFonts w:ascii="Times New Roman" w:hAnsi="Times New Roman" w:cs="Times New Roman"/>
          <w:lang w:val="ro-RO"/>
        </w:rPr>
        <w:t xml:space="preserve"> </w:t>
      </w:r>
      <w:r w:rsidRPr="00646F2C">
        <w:rPr>
          <w:rFonts w:ascii="Times New Roman" w:hAnsi="Times New Roman" w:cs="Times New Roman"/>
          <w:lang w:val="ro-RO"/>
        </w:rPr>
        <w:t>Şedinţa Camerei Deputaţilor din 6 decembrie 2006, Dezbaterea Propunerii legislative pentru alegerea reprezentanţilor României în Parlamentul European şi a Propunerii legislative privind organizarea şi desfăşurarea alegerilor pentru Parlamentul European (</w:t>
      </w:r>
      <w:r w:rsidRPr="00646F2C">
        <w:rPr>
          <w:rFonts w:ascii="Times New Roman" w:hAnsi="Times New Roman" w:cs="Times New Roman"/>
          <w:i/>
          <w:iCs/>
          <w:lang w:val="ro-RO"/>
        </w:rPr>
        <w:t>retrimitere la comisie</w:t>
      </w:r>
      <w:r w:rsidRPr="00646F2C">
        <w:rPr>
          <w:rFonts w:ascii="Times New Roman" w:hAnsi="Times New Roman" w:cs="Times New Roman"/>
          <w:lang w:val="ro-RO"/>
        </w:rPr>
        <w:t>). Amendament propus de către deputatul Petru Călian.  Sursă internet:</w:t>
      </w:r>
      <w:hyperlink r:id="rId21" w:history="1">
        <w:r w:rsidRPr="00646F2C">
          <w:rPr>
            <w:rStyle w:val="Hyperlink"/>
            <w:rFonts w:ascii="Times New Roman" w:hAnsi="Times New Roman" w:cs="Times New Roman"/>
            <w:color w:val="auto"/>
            <w:lang w:val="ro-RO"/>
          </w:rPr>
          <w:t>http://www.cdep.ro/pls/steno/steno.stenograma?ids=6210&amp;idm=3</w:t>
        </w:r>
      </w:hyperlink>
    </w:p>
  </w:footnote>
  <w:footnote w:id="45">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w:t>
      </w:r>
      <w:hyperlink r:id="rId22" w:history="1">
        <w:r w:rsidRPr="00646F2C">
          <w:rPr>
            <w:rStyle w:val="Hyperlink"/>
            <w:rFonts w:ascii="Times New Roman" w:hAnsi="Times New Roman" w:cs="Times New Roman"/>
            <w:color w:val="auto"/>
          </w:rPr>
          <w:t>http://bec2009pe.roaep.ro/Documente%20PDF/Rezultate/Rezultate%20finale/Comunicat%20BEC.pdf</w:t>
        </w:r>
      </w:hyperlink>
      <w:r w:rsidRPr="00646F2C">
        <w:rPr>
          <w:rFonts w:ascii="Times New Roman" w:hAnsi="Times New Roman" w:cs="Times New Roman"/>
        </w:rPr>
        <w:t xml:space="preserve"> </w:t>
      </w:r>
    </w:p>
  </w:footnote>
  <w:footnote w:id="46">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Articolul 37, Constituția României. Sursă internet: </w:t>
      </w:r>
      <w:hyperlink r:id="rId23" w:anchor="t2c2s0sba37" w:history="1">
        <w:r w:rsidRPr="00646F2C">
          <w:rPr>
            <w:rStyle w:val="Hyperlink"/>
            <w:rFonts w:ascii="Times New Roman" w:hAnsi="Times New Roman" w:cs="Times New Roman"/>
            <w:color w:val="auto"/>
          </w:rPr>
          <w:t>http://www.cdep.ro/pls/dic/site2015.page?den=act2_1&amp;par1=2#t2c2s0sba37</w:t>
        </w:r>
      </w:hyperlink>
    </w:p>
  </w:footnote>
  <w:footnote w:id="47">
    <w:p w:rsidR="00AC5E25" w:rsidRPr="00646F2C" w:rsidRDefault="00AC5E25" w:rsidP="0050680D">
      <w:pPr>
        <w:pStyle w:val="FootnoteText"/>
        <w:rPr>
          <w:rFonts w:ascii="Times New Roman" w:hAnsi="Times New Roman" w:cs="Times New Roman"/>
          <w:color w:val="000000" w:themeColor="text1"/>
          <w:lang w:val="ro-RO"/>
        </w:rPr>
      </w:pPr>
      <w:r w:rsidRPr="00646F2C">
        <w:rPr>
          <w:rStyle w:val="FootnoteReference"/>
          <w:rFonts w:ascii="Times New Roman" w:hAnsi="Times New Roman" w:cs="Times New Roman"/>
          <w:color w:val="000000" w:themeColor="text1"/>
        </w:rPr>
        <w:footnoteRef/>
      </w:r>
      <w:r w:rsidRPr="00646F2C">
        <w:rPr>
          <w:rFonts w:ascii="Times New Roman" w:hAnsi="Times New Roman" w:cs="Times New Roman"/>
          <w:color w:val="000000" w:themeColor="text1"/>
        </w:rPr>
        <w:t xml:space="preserve"> </w:t>
      </w:r>
      <w:r w:rsidRPr="00646F2C">
        <w:rPr>
          <w:rStyle w:val="sden"/>
          <w:rFonts w:ascii="Times New Roman" w:hAnsi="Times New Roman" w:cs="Times New Roman"/>
          <w:color w:val="000000" w:themeColor="text1"/>
          <w:bdr w:val="none" w:sz="0" w:space="0" w:color="auto" w:frame="1"/>
          <w:shd w:val="clear" w:color="auto" w:fill="FFFFFF"/>
        </w:rPr>
        <w:t xml:space="preserve">DECIZIE nr. 782 din 12 mai 2009 </w:t>
      </w:r>
      <w:r w:rsidRPr="00646F2C">
        <w:rPr>
          <w:rStyle w:val="spar"/>
          <w:rFonts w:ascii="Times New Roman" w:hAnsi="Times New Roman" w:cs="Times New Roman"/>
          <w:color w:val="000000" w:themeColor="text1"/>
          <w:bdr w:val="none" w:sz="0" w:space="0" w:color="auto" w:frame="1"/>
          <w:shd w:val="clear" w:color="auto" w:fill="FFFFFF"/>
        </w:rPr>
        <w:t>referitoare la excepţia de neconstituţionalitate a prevederilor </w:t>
      </w:r>
      <w:hyperlink r:id="rId24" w:anchor="id_artA97" w:history="1">
        <w:r w:rsidRPr="00646F2C">
          <w:rPr>
            <w:rStyle w:val="Hyperlink"/>
            <w:rFonts w:ascii="Times New Roman" w:hAnsi="Times New Roman" w:cs="Times New Roman"/>
            <w:color w:val="000000" w:themeColor="text1"/>
            <w:bdr w:val="none" w:sz="0" w:space="0" w:color="auto" w:frame="1"/>
            <w:shd w:val="clear" w:color="auto" w:fill="FFFFFF"/>
          </w:rPr>
          <w:t>art. 12^1 alin. (1) din Legea nr. 33/2007</w:t>
        </w:r>
      </w:hyperlink>
      <w:r w:rsidRPr="00646F2C">
        <w:rPr>
          <w:rStyle w:val="spar"/>
          <w:rFonts w:ascii="Times New Roman" w:hAnsi="Times New Roman" w:cs="Times New Roman"/>
          <w:color w:val="000000" w:themeColor="text1"/>
          <w:bdr w:val="none" w:sz="0" w:space="0" w:color="auto" w:frame="1"/>
          <w:shd w:val="clear" w:color="auto" w:fill="FFFFFF"/>
        </w:rPr>
        <w:t> privind organizarea şi desfăşurarea alegerilor pentru Parlamentul European</w:t>
      </w:r>
    </w:p>
  </w:footnote>
  <w:footnote w:id="48">
    <w:p w:rsidR="00AC5E25" w:rsidRPr="00646F2C" w:rsidRDefault="00AC5E25" w:rsidP="006E65E0">
      <w:pPr>
        <w:pStyle w:val="FootnoteText"/>
        <w:jc w:val="both"/>
        <w:rPr>
          <w:rFonts w:ascii="Times New Roman" w:hAnsi="Times New Roman" w:cs="Times New Roman"/>
          <w:color w:val="000000" w:themeColor="text1"/>
          <w:lang w:val="ro-RO"/>
        </w:rPr>
      </w:pPr>
      <w:r w:rsidRPr="00646F2C">
        <w:rPr>
          <w:rStyle w:val="FootnoteReference"/>
          <w:rFonts w:ascii="Times New Roman" w:hAnsi="Times New Roman" w:cs="Times New Roman"/>
          <w:color w:val="000000" w:themeColor="text1"/>
        </w:rPr>
        <w:footnoteRef/>
      </w:r>
      <w:r w:rsidRPr="00646F2C">
        <w:rPr>
          <w:rFonts w:ascii="Times New Roman" w:hAnsi="Times New Roman" w:cs="Times New Roman"/>
          <w:color w:val="000000" w:themeColor="text1"/>
        </w:rPr>
        <w:t xml:space="preserve"> </w:t>
      </w:r>
      <w:hyperlink r:id="rId25" w:history="1">
        <w:r w:rsidRPr="00646F2C">
          <w:rPr>
            <w:rStyle w:val="Hyperlink"/>
            <w:rFonts w:ascii="Times New Roman" w:hAnsi="Times New Roman" w:cs="Times New Roman"/>
            <w:color w:val="000000" w:themeColor="text1"/>
          </w:rPr>
          <w:t>https://m.jurnalul.antena3.ro/stiri/europarlamentare-piedici-noi-pentru-independenti-146141.html</w:t>
        </w:r>
      </w:hyperlink>
    </w:p>
  </w:footnote>
  <w:footnote w:id="49">
    <w:tbl>
      <w:tblPr>
        <w:tblW w:w="9350" w:type="dxa"/>
        <w:tblInd w:w="144" w:type="dxa"/>
        <w:shd w:val="clear" w:color="auto" w:fill="FFFFFF"/>
        <w:tblCellMar>
          <w:left w:w="0" w:type="dxa"/>
          <w:right w:w="0" w:type="dxa"/>
        </w:tblCellMar>
        <w:tblLook w:val="04A0" w:firstRow="1" w:lastRow="0" w:firstColumn="1" w:lastColumn="0" w:noHBand="0" w:noVBand="1"/>
      </w:tblPr>
      <w:tblGrid>
        <w:gridCol w:w="9344"/>
        <w:gridCol w:w="6"/>
      </w:tblGrid>
      <w:tr w:rsidR="00AC5E25" w:rsidRPr="00646F2C" w:rsidTr="00EE5502">
        <w:tc>
          <w:tcPr>
            <w:tcW w:w="0" w:type="auto"/>
            <w:tcBorders>
              <w:top w:val="nil"/>
              <w:left w:val="nil"/>
              <w:bottom w:val="nil"/>
              <w:right w:val="nil"/>
            </w:tcBorders>
            <w:shd w:val="clear" w:color="auto" w:fill="FFFFFF"/>
            <w:vAlign w:val="bottom"/>
            <w:hideMark/>
          </w:tcPr>
          <w:p w:rsidR="00AC5E25" w:rsidRPr="00646F2C" w:rsidRDefault="00AC5E25" w:rsidP="006E65E0">
            <w:pPr>
              <w:spacing w:after="0" w:line="240" w:lineRule="auto"/>
              <w:jc w:val="both"/>
              <w:rPr>
                <w:rFonts w:ascii="Times New Roman" w:eastAsia="Times New Roman" w:hAnsi="Times New Roman" w:cs="Times New Roman"/>
                <w:color w:val="000000" w:themeColor="text1"/>
                <w:sz w:val="20"/>
                <w:szCs w:val="20"/>
                <w:lang w:eastAsia="en-GB" w:bidi="te-IN"/>
              </w:rPr>
            </w:pPr>
            <w:r w:rsidRPr="00646F2C">
              <w:rPr>
                <w:rStyle w:val="FootnoteReference"/>
                <w:rFonts w:ascii="Times New Roman" w:hAnsi="Times New Roman" w:cs="Times New Roman"/>
                <w:color w:val="000000" w:themeColor="text1"/>
                <w:sz w:val="20"/>
                <w:szCs w:val="20"/>
              </w:rPr>
              <w:footnoteRef/>
            </w:r>
            <w:r w:rsidRPr="00646F2C">
              <w:rPr>
                <w:rFonts w:ascii="Times New Roman" w:hAnsi="Times New Roman" w:cs="Times New Roman"/>
                <w:color w:val="000000" w:themeColor="text1"/>
                <w:sz w:val="20"/>
                <w:szCs w:val="20"/>
              </w:rPr>
              <w:t xml:space="preserve"> </w:t>
            </w:r>
            <w:r w:rsidRPr="00646F2C">
              <w:rPr>
                <w:rFonts w:ascii="Times New Roman" w:eastAsia="Times New Roman" w:hAnsi="Times New Roman" w:cs="Times New Roman"/>
                <w:color w:val="000000" w:themeColor="text1"/>
                <w:sz w:val="20"/>
                <w:szCs w:val="20"/>
                <w:bdr w:val="none" w:sz="0" w:space="0" w:color="auto" w:frame="1"/>
                <w:shd w:val="clear" w:color="auto" w:fill="FFFFFF"/>
                <w:lang w:eastAsia="en-GB" w:bidi="te-IN"/>
              </w:rPr>
              <w:t xml:space="preserve">HOTĂRÎRE Nr. 37 din 2 octombrie 1996, Curtea Constituțională, </w:t>
            </w:r>
          </w:p>
        </w:tc>
        <w:tc>
          <w:tcPr>
            <w:tcW w:w="0" w:type="auto"/>
            <w:tcBorders>
              <w:top w:val="nil"/>
              <w:left w:val="nil"/>
              <w:bottom w:val="nil"/>
              <w:right w:val="nil"/>
            </w:tcBorders>
            <w:shd w:val="clear" w:color="auto" w:fill="FFFFFF"/>
            <w:vAlign w:val="bottom"/>
            <w:hideMark/>
          </w:tcPr>
          <w:p w:rsidR="00AC5E25" w:rsidRPr="00646F2C" w:rsidRDefault="00AC5E25" w:rsidP="00EE5502">
            <w:pPr>
              <w:spacing w:after="0" w:line="240" w:lineRule="auto"/>
              <w:jc w:val="both"/>
              <w:rPr>
                <w:rFonts w:ascii="Times New Roman" w:eastAsia="Times New Roman" w:hAnsi="Times New Roman" w:cs="Times New Roman"/>
                <w:color w:val="000000" w:themeColor="text1"/>
                <w:sz w:val="20"/>
                <w:szCs w:val="20"/>
                <w:lang w:eastAsia="en-GB" w:bidi="te-IN"/>
              </w:rPr>
            </w:pPr>
          </w:p>
        </w:tc>
      </w:tr>
      <w:tr w:rsidR="00AC5E25" w:rsidRPr="00646F2C" w:rsidTr="00EE5502">
        <w:trPr>
          <w:gridAfter w:val="1"/>
        </w:trPr>
        <w:tc>
          <w:tcPr>
            <w:tcW w:w="0" w:type="auto"/>
            <w:tcBorders>
              <w:top w:val="nil"/>
              <w:left w:val="nil"/>
              <w:bottom w:val="nil"/>
              <w:right w:val="nil"/>
            </w:tcBorders>
            <w:shd w:val="clear" w:color="auto" w:fill="FFFFFF"/>
            <w:vAlign w:val="bottom"/>
            <w:hideMark/>
          </w:tcPr>
          <w:p w:rsidR="00AC5E25" w:rsidRPr="00646F2C" w:rsidRDefault="00AC5E25" w:rsidP="006E65E0">
            <w:pPr>
              <w:spacing w:after="0" w:line="240" w:lineRule="auto"/>
              <w:jc w:val="both"/>
              <w:rPr>
                <w:rFonts w:ascii="Times New Roman" w:eastAsia="Times New Roman" w:hAnsi="Times New Roman" w:cs="Times New Roman"/>
                <w:color w:val="000000" w:themeColor="text1"/>
                <w:sz w:val="20"/>
                <w:szCs w:val="20"/>
                <w:lang w:eastAsia="en-GB" w:bidi="te-IN"/>
              </w:rPr>
            </w:pPr>
            <w:r w:rsidRPr="00646F2C">
              <w:rPr>
                <w:rFonts w:ascii="Times New Roman" w:eastAsia="Times New Roman" w:hAnsi="Times New Roman" w:cs="Times New Roman"/>
                <w:color w:val="000000" w:themeColor="text1"/>
                <w:sz w:val="20"/>
                <w:szCs w:val="20"/>
                <w:bdr w:val="none" w:sz="0" w:space="0" w:color="auto" w:frame="1"/>
                <w:shd w:val="clear" w:color="auto" w:fill="FFFFFF"/>
                <w:lang w:eastAsia="en-GB" w:bidi="te-IN"/>
              </w:rPr>
              <w:t xml:space="preserve">Sursă internet: </w:t>
            </w:r>
            <w:hyperlink r:id="rId26" w:history="1">
              <w:r w:rsidRPr="00646F2C">
                <w:rPr>
                  <w:rStyle w:val="Hyperlink"/>
                  <w:rFonts w:ascii="Times New Roman" w:hAnsi="Times New Roman" w:cs="Times New Roman"/>
                  <w:color w:val="000000" w:themeColor="text1"/>
                  <w:sz w:val="20"/>
                  <w:szCs w:val="20"/>
                </w:rPr>
                <w:t>http://legislatie.just.ro/Public/DetaliiDocumentAfis/8178</w:t>
              </w:r>
            </w:hyperlink>
            <w:r w:rsidRPr="00646F2C">
              <w:rPr>
                <w:rFonts w:ascii="Times New Roman" w:hAnsi="Times New Roman" w:cs="Times New Roman"/>
                <w:color w:val="000000" w:themeColor="text1"/>
                <w:sz w:val="20"/>
                <w:szCs w:val="20"/>
              </w:rPr>
              <w:t xml:space="preserve"> și </w:t>
            </w:r>
            <w:r w:rsidRPr="00646F2C">
              <w:rPr>
                <w:rFonts w:ascii="Times New Roman" w:eastAsia="Times New Roman" w:hAnsi="Times New Roman" w:cs="Times New Roman"/>
                <w:color w:val="000000" w:themeColor="text1"/>
                <w:sz w:val="20"/>
                <w:szCs w:val="20"/>
                <w:bdr w:val="none" w:sz="0" w:space="0" w:color="auto" w:frame="1"/>
                <w:shd w:val="clear" w:color="auto" w:fill="FFFFFF"/>
                <w:lang w:eastAsia="en-GB" w:bidi="te-IN"/>
              </w:rPr>
              <w:t xml:space="preserve">HOTĂRÎRE Nr. 71 din 16 octombrie 1996, Curtea Constituțională, Sursă internet: </w:t>
            </w:r>
          </w:p>
        </w:tc>
      </w:tr>
    </w:tbl>
    <w:p w:rsidR="00AC5E25" w:rsidRPr="00646F2C" w:rsidRDefault="00CE4E07" w:rsidP="006E65E0">
      <w:pPr>
        <w:pStyle w:val="FootnoteText"/>
        <w:rPr>
          <w:rFonts w:ascii="Times New Roman" w:hAnsi="Times New Roman" w:cs="Times New Roman"/>
          <w:color w:val="000000" w:themeColor="text1"/>
          <w:lang w:val="ro-RO"/>
        </w:rPr>
      </w:pPr>
      <w:hyperlink r:id="rId27" w:history="1">
        <w:r w:rsidR="00AC5E25" w:rsidRPr="00646F2C">
          <w:rPr>
            <w:rStyle w:val="Hyperlink"/>
            <w:rFonts w:ascii="Times New Roman" w:hAnsi="Times New Roman" w:cs="Times New Roman"/>
            <w:color w:val="000000" w:themeColor="text1"/>
          </w:rPr>
          <w:t>http://legislatie.just.ro/Public/DetaliiDocumentAfis/8395</w:t>
        </w:r>
      </w:hyperlink>
      <w:r w:rsidR="00AC5E25" w:rsidRPr="00646F2C">
        <w:rPr>
          <w:rFonts w:ascii="Times New Roman" w:hAnsi="Times New Roman" w:cs="Times New Roman"/>
          <w:color w:val="000000" w:themeColor="text1"/>
        </w:rPr>
        <w:t xml:space="preserve"> </w:t>
      </w:r>
    </w:p>
  </w:footnote>
  <w:footnote w:id="50">
    <w:p w:rsidR="00AC5E25" w:rsidRPr="00646F2C" w:rsidRDefault="00AC5E25" w:rsidP="006E65E0">
      <w:pPr>
        <w:pStyle w:val="FootnoteText"/>
        <w:rPr>
          <w:rFonts w:ascii="Times New Roman" w:hAnsi="Times New Roman" w:cs="Times New Roman"/>
          <w:color w:val="000000" w:themeColor="text1"/>
          <w:lang w:val="ro-RO"/>
        </w:rPr>
      </w:pPr>
      <w:r w:rsidRPr="00646F2C">
        <w:rPr>
          <w:rStyle w:val="FootnoteReference"/>
          <w:rFonts w:ascii="Times New Roman" w:hAnsi="Times New Roman" w:cs="Times New Roman"/>
          <w:color w:val="000000" w:themeColor="text1"/>
        </w:rPr>
        <w:footnoteRef/>
      </w:r>
      <w:r w:rsidRPr="00646F2C">
        <w:rPr>
          <w:rFonts w:ascii="Times New Roman" w:hAnsi="Times New Roman" w:cs="Times New Roman"/>
          <w:color w:val="000000" w:themeColor="text1"/>
        </w:rPr>
        <w:t xml:space="preserve"> </w:t>
      </w:r>
      <w:r w:rsidRPr="00646F2C">
        <w:rPr>
          <w:rStyle w:val="sden"/>
          <w:rFonts w:ascii="Times New Roman" w:hAnsi="Times New Roman" w:cs="Times New Roman"/>
          <w:color w:val="000000" w:themeColor="text1"/>
          <w:bdr w:val="none" w:sz="0" w:space="0" w:color="auto" w:frame="1"/>
          <w:shd w:val="clear" w:color="auto" w:fill="FFFFFF"/>
        </w:rPr>
        <w:t xml:space="preserve">DECIZIE nr. 782 din 12 mai 2009 </w:t>
      </w:r>
      <w:r w:rsidRPr="00646F2C">
        <w:rPr>
          <w:rStyle w:val="spar"/>
          <w:rFonts w:ascii="Times New Roman" w:hAnsi="Times New Roman" w:cs="Times New Roman"/>
          <w:color w:val="000000" w:themeColor="text1"/>
          <w:bdr w:val="none" w:sz="0" w:space="0" w:color="auto" w:frame="1"/>
          <w:shd w:val="clear" w:color="auto" w:fill="FFFFFF"/>
        </w:rPr>
        <w:t>referitoare la excepţia de neconstituţionalitate a prevederilor </w:t>
      </w:r>
      <w:hyperlink r:id="rId28" w:anchor="id_artA97" w:history="1">
        <w:r w:rsidRPr="00646F2C">
          <w:rPr>
            <w:rStyle w:val="Hyperlink"/>
            <w:rFonts w:ascii="Times New Roman" w:hAnsi="Times New Roman" w:cs="Times New Roman"/>
            <w:color w:val="000000" w:themeColor="text1"/>
            <w:bdr w:val="none" w:sz="0" w:space="0" w:color="auto" w:frame="1"/>
            <w:shd w:val="clear" w:color="auto" w:fill="FFFFFF"/>
          </w:rPr>
          <w:t>art. 12^1 alin. (1) din Legea nr. 33/2007</w:t>
        </w:r>
      </w:hyperlink>
      <w:r w:rsidRPr="00646F2C">
        <w:rPr>
          <w:rStyle w:val="spar"/>
          <w:rFonts w:ascii="Times New Roman" w:hAnsi="Times New Roman" w:cs="Times New Roman"/>
          <w:color w:val="000000" w:themeColor="text1"/>
          <w:bdr w:val="none" w:sz="0" w:space="0" w:color="auto" w:frame="1"/>
          <w:shd w:val="clear" w:color="auto" w:fill="FFFFFF"/>
        </w:rPr>
        <w:t> privind organizarea şi desfăşurarea alegerilor pentru Parlamentul European</w:t>
      </w:r>
    </w:p>
  </w:footnote>
  <w:footnote w:id="51">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w:t>
      </w:r>
      <w:hyperlink r:id="rId29" w:history="1">
        <w:r w:rsidRPr="00646F2C">
          <w:rPr>
            <w:rStyle w:val="Hyperlink"/>
            <w:rFonts w:ascii="Times New Roman" w:hAnsi="Times New Roman" w:cs="Times New Roman"/>
            <w:color w:val="auto"/>
          </w:rPr>
          <w:t>http://alegeri.roaep.ro/?alegeri=test-parlamentare</w:t>
        </w:r>
      </w:hyperlink>
    </w:p>
  </w:footnote>
  <w:footnote w:id="52">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w:t>
      </w:r>
      <w:r w:rsidRPr="00646F2C">
        <w:rPr>
          <w:rFonts w:ascii="Times New Roman" w:hAnsi="Times New Roman" w:cs="Times New Roman"/>
          <w:i/>
          <w:iCs/>
          <w:shd w:val="clear" w:color="auto" w:fill="FFFFFF"/>
        </w:rPr>
        <w:t xml:space="preserve">Lege nr.70 din 26 noiembrie 1991 privind alegerile locale, </w:t>
      </w:r>
      <w:r w:rsidRPr="00646F2C">
        <w:rPr>
          <w:rFonts w:ascii="Times New Roman" w:hAnsi="Times New Roman" w:cs="Times New Roman"/>
          <w:shd w:val="clear" w:color="auto" w:fill="FFFFFF"/>
        </w:rPr>
        <w:t xml:space="preserve">art.34 </w:t>
      </w:r>
      <w:proofErr w:type="gramStart"/>
      <w:r w:rsidRPr="00646F2C">
        <w:rPr>
          <w:rFonts w:ascii="Times New Roman" w:hAnsi="Times New Roman" w:cs="Times New Roman"/>
          <w:shd w:val="clear" w:color="auto" w:fill="FFFFFF"/>
        </w:rPr>
        <w:t>- ”Candidatii</w:t>
      </w:r>
      <w:proofErr w:type="gramEnd"/>
      <w:r w:rsidRPr="00646F2C">
        <w:rPr>
          <w:rFonts w:ascii="Times New Roman" w:hAnsi="Times New Roman" w:cs="Times New Roman"/>
          <w:shd w:val="clear" w:color="auto" w:fill="FFFFFF"/>
        </w:rPr>
        <w:t xml:space="preserve"> independenti pentru functia de consilier vor trebui sa fie sustinuti de minimum unu la suta din numarul total al alegatorilor inscrisi in liste, impartit la numarul de consilieri ce pot fi alesi in comuna sau orasul respectiv, dar nu mai putin de 50. Pentru functia de primar, candidatii independenti trebuie sa fie sustinuti de minimum unu la suta din numarul total al alegatorilor inscrisi in liste pentru circumscriptia pentru care candideaza, dar nu mai putin de 150.”</w:t>
      </w:r>
    </w:p>
  </w:footnote>
  <w:footnote w:id="53">
    <w:p w:rsidR="00AC5E25" w:rsidRPr="00646F2C" w:rsidRDefault="00AC5E25" w:rsidP="006E65E0">
      <w:pPr>
        <w:spacing w:after="0" w:line="240" w:lineRule="auto"/>
        <w:jc w:val="both"/>
        <w:rPr>
          <w:rFonts w:ascii="Times New Roman" w:hAnsi="Times New Roman" w:cs="Times New Roman"/>
          <w:sz w:val="20"/>
          <w:szCs w:val="20"/>
        </w:rPr>
      </w:pPr>
      <w:r w:rsidRPr="00646F2C">
        <w:rPr>
          <w:rStyle w:val="FootnoteReference"/>
          <w:rFonts w:ascii="Times New Roman" w:hAnsi="Times New Roman" w:cs="Times New Roman"/>
          <w:sz w:val="20"/>
          <w:szCs w:val="20"/>
        </w:rPr>
        <w:footnoteRef/>
      </w:r>
      <w:r w:rsidRPr="00646F2C">
        <w:rPr>
          <w:rFonts w:ascii="Times New Roman" w:hAnsi="Times New Roman" w:cs="Times New Roman"/>
          <w:sz w:val="20"/>
          <w:szCs w:val="20"/>
        </w:rPr>
        <w:t xml:space="preserve"> </w:t>
      </w:r>
      <w:r w:rsidRPr="00646F2C">
        <w:rPr>
          <w:rFonts w:ascii="Times New Roman" w:hAnsi="Times New Roman" w:cs="Times New Roman"/>
          <w:i/>
          <w:iCs/>
          <w:sz w:val="20"/>
          <w:szCs w:val="20"/>
          <w:shd w:val="clear" w:color="auto" w:fill="FFFFFF"/>
        </w:rPr>
        <w:t xml:space="preserve">Lege nr.115 din 19 mai 2015 pentru alegerea autorităţilor administraţiei publice locale, pentru modificarea Legii administraţiei publice locale nr. 215/2001, precum si pentru modificarea şi completarea Legii nr. 393/2004 privind Statutul aleşilor locali, </w:t>
      </w:r>
      <w:r w:rsidRPr="00646F2C">
        <w:rPr>
          <w:rFonts w:ascii="Times New Roman" w:hAnsi="Times New Roman" w:cs="Times New Roman"/>
          <w:sz w:val="20"/>
          <w:szCs w:val="20"/>
          <w:shd w:val="clear" w:color="auto" w:fill="FFFFFF"/>
        </w:rPr>
        <w:t>a</w:t>
      </w:r>
      <w:r w:rsidRPr="00646F2C">
        <w:rPr>
          <w:rFonts w:ascii="Times New Roman" w:hAnsi="Times New Roman" w:cs="Times New Roman"/>
          <w:sz w:val="20"/>
          <w:szCs w:val="20"/>
        </w:rPr>
        <w:t>rt. 44 - (1) Candidaţii independenţi pentru funcţia de consilier trebuie să fie susţinuţi de minimum 1% din numărul total al alegătorilor înscrişi în listele electorale permanente din circumscripţia respectivă, dar nu mai puţin de 50 în cazul comunelor, 100 în cazul localităţilor 22 urbane de rangul II şi III şi de 1.000 în cazul judeţelor, municipiului Bucureşti, sectoarelor municipiului Bucureşti şi localităţilor urbane de rangul I.</w:t>
      </w:r>
    </w:p>
    <w:p w:rsidR="00AC5E25" w:rsidRPr="00646F2C" w:rsidRDefault="00AC5E25" w:rsidP="006E65E0">
      <w:pPr>
        <w:spacing w:after="0" w:line="240" w:lineRule="auto"/>
        <w:jc w:val="both"/>
        <w:rPr>
          <w:rFonts w:ascii="Times New Roman" w:hAnsi="Times New Roman" w:cs="Times New Roman"/>
          <w:sz w:val="20"/>
          <w:szCs w:val="20"/>
          <w:lang w:val="ro-RO"/>
        </w:rPr>
      </w:pPr>
      <w:r w:rsidRPr="00646F2C">
        <w:rPr>
          <w:rFonts w:ascii="Times New Roman" w:hAnsi="Times New Roman" w:cs="Times New Roman"/>
          <w:sz w:val="20"/>
          <w:szCs w:val="20"/>
        </w:rPr>
        <w:t>(2) Pentru funcţia de primar, candidaţii independenţi trebuie să prezinte o listă de susţinători, care trebuie să cuprindă minimum 2% din numărul total al alegătorilor înscrişi în listele electorale permanente din circumscripţia pentru care candidează, dar nu mai puţin de 200 în cazul comunelor, 300 în cazul oraşelor, 1.000 în cazul municipiilor şi sectoarelor municipiului Bucureşti şi 5.000 în cazul municipiului Bucureşti.</w:t>
      </w:r>
    </w:p>
  </w:footnote>
  <w:footnote w:id="54">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w:t>
      </w:r>
      <w:r w:rsidRPr="00646F2C">
        <w:rPr>
          <w:rFonts w:ascii="Times New Roman" w:hAnsi="Times New Roman" w:cs="Times New Roman"/>
          <w:i/>
          <w:iCs/>
          <w:shd w:val="clear" w:color="auto" w:fill="FFFFFF"/>
        </w:rPr>
        <w:t xml:space="preserve">Lege nr.35 din 13 martie 2008 pentru alegerea Camerei Deputaţilor şi a Senatului şi pentru modificarea şi completarea Legii nr. 67/2004 pentru alegerea autorităţilor administraţiei publice locale, a Legii administraţiei publice locale nr. 215/2001 şi a Legii nr. 393/2004 privind Statutul aleşilor locali, </w:t>
      </w:r>
      <w:r w:rsidRPr="00646F2C">
        <w:rPr>
          <w:rFonts w:ascii="Times New Roman" w:hAnsi="Times New Roman" w:cs="Times New Roman"/>
          <w:lang w:val="ro-RO"/>
        </w:rPr>
        <w:t xml:space="preserve">art.29, </w:t>
      </w:r>
      <w:proofErr w:type="gramStart"/>
      <w:r w:rsidRPr="00646F2C">
        <w:rPr>
          <w:rFonts w:ascii="Times New Roman" w:hAnsi="Times New Roman" w:cs="Times New Roman"/>
          <w:lang w:val="ro-RO"/>
        </w:rPr>
        <w:t>Alin.(</w:t>
      </w:r>
      <w:proofErr w:type="gramEnd"/>
      <w:r w:rsidRPr="00646F2C">
        <w:rPr>
          <w:rFonts w:ascii="Times New Roman" w:hAnsi="Times New Roman" w:cs="Times New Roman"/>
          <w:lang w:val="ro-RO"/>
        </w:rPr>
        <w:t xml:space="preserve">7) </w:t>
      </w:r>
      <w:r w:rsidRPr="00646F2C">
        <w:rPr>
          <w:rFonts w:ascii="Times New Roman" w:hAnsi="Times New Roman" w:cs="Times New Roman"/>
        </w:rPr>
        <w:t>Depozitul se restituie în termen de 14 zile lucrătoare de la data rămânerii definitive a rezultatelor alegerilor organizate în circumscripţia electorală, numai partidelor politice, alianţelor politice, alianţelor electorale, organizaţiilor cetăţenilor aparţinând minorităţilor naţionale, care obţin un număr de voturi egal cu cel puţin 2% din voturile valabil exprimate la nivel naţional. Depozitul se restituie şi organizaţiilor cetăţenilor aparţinând minorităţilor naţionale, altele decât cele care ating pragul electoral, care obţin un mandat de deputat din partea acestor organizaţii în condiţiile prezentului titlu.</w:t>
      </w:r>
    </w:p>
  </w:footnote>
  <w:footnote w:id="55">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w:t>
      </w:r>
      <w:r w:rsidRPr="00646F2C">
        <w:rPr>
          <w:rFonts w:ascii="Times New Roman" w:hAnsi="Times New Roman" w:cs="Times New Roman"/>
          <w:i/>
          <w:iCs/>
          <w:shd w:val="clear" w:color="auto" w:fill="FFFFFF"/>
        </w:rPr>
        <w:t xml:space="preserve">Lege nr.35 din 13 martie 2008 pentru alegerea Camerei Deputaţilor şi a Senatului şi pentru modificarea şi completarea Legii nr. 67/2004 pentru alegerea autorităţilor administraţiei publice locale, a Legii administraţiei publice locale nr. 215/2001 şi a Legii nr. 393/2004 privind Statutul aleşilor locali, </w:t>
      </w:r>
      <w:r w:rsidRPr="00646F2C">
        <w:rPr>
          <w:rFonts w:ascii="Times New Roman" w:hAnsi="Times New Roman" w:cs="Times New Roman"/>
        </w:rPr>
        <w:t>art. 29 – Alin. (7). Depozitul se restituie şi candidaţilor independenţi care obţin cel puţin 20% din voturile valabil exprimate în colegiul uninominal în care au candidat. Sumele care nu se restituie se fac venit la bugetul de stat.</w:t>
      </w:r>
    </w:p>
  </w:footnote>
  <w:footnote w:id="56">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din circumscripţie, dar nu mai puţin de 100 în cazul comunelor, de 500 în cazul localităţilor urbane de 1.000 în cazul judeţelor, mun</w:t>
      </w:r>
      <w:proofErr w:type="gramStart"/>
      <w:r w:rsidRPr="00646F2C">
        <w:rPr>
          <w:rFonts w:ascii="Times New Roman" w:hAnsi="Times New Roman" w:cs="Times New Roman"/>
        </w:rPr>
        <w:t>.,sect.</w:t>
      </w:r>
      <w:proofErr w:type="gramEnd"/>
    </w:p>
  </w:footnote>
  <w:footnote w:id="57">
    <w:p w:rsidR="00AC5E25" w:rsidRPr="00646F2C" w:rsidRDefault="00AC5E25" w:rsidP="006E65E0">
      <w:pPr>
        <w:spacing w:after="0" w:line="240" w:lineRule="auto"/>
        <w:jc w:val="both"/>
        <w:rPr>
          <w:rFonts w:ascii="Times New Roman" w:hAnsi="Times New Roman" w:cs="Times New Roman"/>
          <w:sz w:val="20"/>
          <w:szCs w:val="20"/>
          <w:shd w:val="clear" w:color="auto" w:fill="FFFFFF"/>
        </w:rPr>
      </w:pPr>
      <w:r w:rsidRPr="00646F2C">
        <w:rPr>
          <w:rStyle w:val="FootnoteReference"/>
          <w:rFonts w:ascii="Times New Roman" w:hAnsi="Times New Roman" w:cs="Times New Roman"/>
          <w:sz w:val="20"/>
          <w:szCs w:val="20"/>
        </w:rPr>
        <w:footnoteRef/>
      </w:r>
      <w:r w:rsidRPr="00646F2C">
        <w:rPr>
          <w:rFonts w:ascii="Times New Roman" w:hAnsi="Times New Roman" w:cs="Times New Roman"/>
          <w:sz w:val="20"/>
          <w:szCs w:val="20"/>
        </w:rPr>
        <w:t xml:space="preserve"> din circumscripţie, dar nu mai puţin de 100 în cazul comunelor, de 500 în cazul localităţilor urbane de 1.000 în cazul judeţelor, mun</w:t>
      </w:r>
      <w:proofErr w:type="gramStart"/>
      <w:r w:rsidRPr="00646F2C">
        <w:rPr>
          <w:rFonts w:ascii="Times New Roman" w:hAnsi="Times New Roman" w:cs="Times New Roman"/>
          <w:sz w:val="20"/>
          <w:szCs w:val="20"/>
        </w:rPr>
        <w:t>.,sect.</w:t>
      </w:r>
      <w:proofErr w:type="gramEnd"/>
    </w:p>
  </w:footnote>
  <w:footnote w:id="58">
    <w:p w:rsidR="00AC5E25" w:rsidRPr="00646F2C" w:rsidRDefault="00AC5E25" w:rsidP="006C7C05">
      <w:pPr>
        <w:pStyle w:val="FootnoteText"/>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w:t>
      </w:r>
      <w:r>
        <w:rPr>
          <w:rFonts w:ascii="Times New Roman" w:hAnsi="Times New Roman" w:cs="Times New Roman"/>
        </w:rPr>
        <w:t xml:space="preserve">Sursă internet: </w:t>
      </w:r>
      <w:hyperlink r:id="rId30" w:history="1">
        <w:r w:rsidRPr="00646F2C">
          <w:rPr>
            <w:rStyle w:val="Hyperlink"/>
            <w:rFonts w:ascii="Times New Roman" w:hAnsi="Times New Roman" w:cs="Times New Roman"/>
          </w:rPr>
          <w:t>https://www.venice.coe.int/webforms/documents/default.aspx?pdffile=CDL-AD(2002)023rev2-cor-e</w:t>
        </w:r>
      </w:hyperlink>
    </w:p>
  </w:footnote>
  <w:footnote w:id="59">
    <w:p w:rsidR="00AC5E25" w:rsidRPr="00646F2C" w:rsidRDefault="00AC5E25" w:rsidP="006E65E0">
      <w:pPr>
        <w:pStyle w:val="FootnoteText"/>
        <w:jc w:val="both"/>
        <w:rPr>
          <w:rFonts w:ascii="Times New Roman" w:hAnsi="Times New Roman" w:cs="Times New Roman"/>
          <w:lang w:val="ro-RO"/>
        </w:rPr>
      </w:pPr>
      <w:r w:rsidRPr="00646F2C">
        <w:rPr>
          <w:rStyle w:val="FootnoteReference"/>
          <w:rFonts w:ascii="Times New Roman" w:hAnsi="Times New Roman" w:cs="Times New Roman"/>
        </w:rPr>
        <w:footnoteRef/>
      </w:r>
      <w:r w:rsidRPr="00646F2C">
        <w:rPr>
          <w:rFonts w:ascii="Times New Roman" w:hAnsi="Times New Roman" w:cs="Times New Roman"/>
        </w:rPr>
        <w:t xml:space="preserve"> Articolul 37, Constituția României. Sursă internet: </w:t>
      </w:r>
      <w:hyperlink r:id="rId31" w:anchor="t2c2s0sba37" w:history="1">
        <w:r w:rsidRPr="00646F2C">
          <w:rPr>
            <w:rStyle w:val="Hyperlink"/>
            <w:rFonts w:ascii="Times New Roman" w:hAnsi="Times New Roman" w:cs="Times New Roman"/>
            <w:color w:val="auto"/>
          </w:rPr>
          <w:t>http://www.cdep.ro/pls/dic/site2015.page?den=act2_1&amp;par1=2#t2c2s0sba37</w:t>
        </w:r>
      </w:hyperlink>
    </w:p>
  </w:footnote>
  <w:footnote w:id="60">
    <w:p w:rsidR="00AC5E25" w:rsidRPr="004C0638" w:rsidRDefault="00AC5E25">
      <w:pPr>
        <w:pStyle w:val="FootnoteText"/>
        <w:rPr>
          <w:lang w:val="ro-RO"/>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593"/>
    <w:multiLevelType w:val="hybridMultilevel"/>
    <w:tmpl w:val="D31E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4486E"/>
    <w:multiLevelType w:val="hybridMultilevel"/>
    <w:tmpl w:val="8D764D60"/>
    <w:lvl w:ilvl="0" w:tplc="64A815E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53AB1"/>
    <w:multiLevelType w:val="hybridMultilevel"/>
    <w:tmpl w:val="EB78082A"/>
    <w:lvl w:ilvl="0" w:tplc="B540C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E1725"/>
    <w:multiLevelType w:val="hybridMultilevel"/>
    <w:tmpl w:val="DCF67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2B2191"/>
    <w:multiLevelType w:val="hybridMultilevel"/>
    <w:tmpl w:val="6116EB2C"/>
    <w:lvl w:ilvl="0" w:tplc="38E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0D678E"/>
    <w:multiLevelType w:val="hybridMultilevel"/>
    <w:tmpl w:val="71AA08CA"/>
    <w:lvl w:ilvl="0" w:tplc="A75E6D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46049F"/>
    <w:multiLevelType w:val="hybridMultilevel"/>
    <w:tmpl w:val="5E543D08"/>
    <w:lvl w:ilvl="0" w:tplc="45E0F51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DA513B1"/>
    <w:multiLevelType w:val="hybridMultilevel"/>
    <w:tmpl w:val="B8E8212A"/>
    <w:lvl w:ilvl="0" w:tplc="A11656E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362D6B"/>
    <w:multiLevelType w:val="hybridMultilevel"/>
    <w:tmpl w:val="BF967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3A"/>
    <w:rsid w:val="00002539"/>
    <w:rsid w:val="00002AF6"/>
    <w:rsid w:val="0000518B"/>
    <w:rsid w:val="00010D28"/>
    <w:rsid w:val="000126E6"/>
    <w:rsid w:val="0001649E"/>
    <w:rsid w:val="000165B1"/>
    <w:rsid w:val="00020220"/>
    <w:rsid w:val="00020BF8"/>
    <w:rsid w:val="00021EBA"/>
    <w:rsid w:val="00023513"/>
    <w:rsid w:val="000261E1"/>
    <w:rsid w:val="000264FF"/>
    <w:rsid w:val="00026CBB"/>
    <w:rsid w:val="000277D8"/>
    <w:rsid w:val="00030330"/>
    <w:rsid w:val="000311FA"/>
    <w:rsid w:val="000316E7"/>
    <w:rsid w:val="0003188C"/>
    <w:rsid w:val="00032828"/>
    <w:rsid w:val="00033EB2"/>
    <w:rsid w:val="00033F01"/>
    <w:rsid w:val="00034D07"/>
    <w:rsid w:val="000421D1"/>
    <w:rsid w:val="00042BFA"/>
    <w:rsid w:val="00044675"/>
    <w:rsid w:val="0004498C"/>
    <w:rsid w:val="000468A6"/>
    <w:rsid w:val="000470C5"/>
    <w:rsid w:val="0004731C"/>
    <w:rsid w:val="000516FE"/>
    <w:rsid w:val="00054F83"/>
    <w:rsid w:val="00056982"/>
    <w:rsid w:val="00057720"/>
    <w:rsid w:val="000678E0"/>
    <w:rsid w:val="00071131"/>
    <w:rsid w:val="0007296F"/>
    <w:rsid w:val="00080B56"/>
    <w:rsid w:val="0008148B"/>
    <w:rsid w:val="00081CD2"/>
    <w:rsid w:val="000823A7"/>
    <w:rsid w:val="0008487F"/>
    <w:rsid w:val="000848A6"/>
    <w:rsid w:val="00085BA3"/>
    <w:rsid w:val="0008602C"/>
    <w:rsid w:val="0008667F"/>
    <w:rsid w:val="00092680"/>
    <w:rsid w:val="0009531F"/>
    <w:rsid w:val="0009535B"/>
    <w:rsid w:val="0009674E"/>
    <w:rsid w:val="000A01DB"/>
    <w:rsid w:val="000A0262"/>
    <w:rsid w:val="000A097D"/>
    <w:rsid w:val="000A2762"/>
    <w:rsid w:val="000A3D39"/>
    <w:rsid w:val="000A41CA"/>
    <w:rsid w:val="000A53EB"/>
    <w:rsid w:val="000A5879"/>
    <w:rsid w:val="000A6223"/>
    <w:rsid w:val="000A70DC"/>
    <w:rsid w:val="000A751E"/>
    <w:rsid w:val="000B0471"/>
    <w:rsid w:val="000B0F45"/>
    <w:rsid w:val="000B13D2"/>
    <w:rsid w:val="000B2971"/>
    <w:rsid w:val="000B2F10"/>
    <w:rsid w:val="000B37D5"/>
    <w:rsid w:val="000B4AE5"/>
    <w:rsid w:val="000B4D3C"/>
    <w:rsid w:val="000B5400"/>
    <w:rsid w:val="000B5779"/>
    <w:rsid w:val="000B685A"/>
    <w:rsid w:val="000B7880"/>
    <w:rsid w:val="000C07EB"/>
    <w:rsid w:val="000C0AB5"/>
    <w:rsid w:val="000C24DA"/>
    <w:rsid w:val="000C26D4"/>
    <w:rsid w:val="000C37D4"/>
    <w:rsid w:val="000C3A40"/>
    <w:rsid w:val="000C3DC3"/>
    <w:rsid w:val="000C4C06"/>
    <w:rsid w:val="000C7D81"/>
    <w:rsid w:val="000D349E"/>
    <w:rsid w:val="000D39D2"/>
    <w:rsid w:val="000E071D"/>
    <w:rsid w:val="000E225B"/>
    <w:rsid w:val="000E2E05"/>
    <w:rsid w:val="000E3AE7"/>
    <w:rsid w:val="000E4309"/>
    <w:rsid w:val="000E7D0A"/>
    <w:rsid w:val="000F03D7"/>
    <w:rsid w:val="000F07E3"/>
    <w:rsid w:val="000F143E"/>
    <w:rsid w:val="000F1453"/>
    <w:rsid w:val="000F219B"/>
    <w:rsid w:val="000F3528"/>
    <w:rsid w:val="000F4175"/>
    <w:rsid w:val="000F46C9"/>
    <w:rsid w:val="000F52EC"/>
    <w:rsid w:val="000F5C8E"/>
    <w:rsid w:val="000F5DDA"/>
    <w:rsid w:val="000F6EC3"/>
    <w:rsid w:val="000F73F6"/>
    <w:rsid w:val="001026B9"/>
    <w:rsid w:val="00106922"/>
    <w:rsid w:val="0011034C"/>
    <w:rsid w:val="0011275B"/>
    <w:rsid w:val="00112B7B"/>
    <w:rsid w:val="00115E54"/>
    <w:rsid w:val="00117DC1"/>
    <w:rsid w:val="0012005A"/>
    <w:rsid w:val="0012052F"/>
    <w:rsid w:val="00122347"/>
    <w:rsid w:val="00122DE4"/>
    <w:rsid w:val="00124A63"/>
    <w:rsid w:val="001303EF"/>
    <w:rsid w:val="00130519"/>
    <w:rsid w:val="00133049"/>
    <w:rsid w:val="00133256"/>
    <w:rsid w:val="001346E2"/>
    <w:rsid w:val="001346F6"/>
    <w:rsid w:val="0013519A"/>
    <w:rsid w:val="00136F5F"/>
    <w:rsid w:val="001404D4"/>
    <w:rsid w:val="00141021"/>
    <w:rsid w:val="001436DD"/>
    <w:rsid w:val="001439FE"/>
    <w:rsid w:val="0014458D"/>
    <w:rsid w:val="00146AAB"/>
    <w:rsid w:val="00147604"/>
    <w:rsid w:val="00154613"/>
    <w:rsid w:val="00155427"/>
    <w:rsid w:val="00156040"/>
    <w:rsid w:val="00157EC6"/>
    <w:rsid w:val="00160A69"/>
    <w:rsid w:val="00161C74"/>
    <w:rsid w:val="00163325"/>
    <w:rsid w:val="001661A0"/>
    <w:rsid w:val="00167F45"/>
    <w:rsid w:val="00170506"/>
    <w:rsid w:val="00172093"/>
    <w:rsid w:val="00172F10"/>
    <w:rsid w:val="001731A7"/>
    <w:rsid w:val="00174F20"/>
    <w:rsid w:val="00175895"/>
    <w:rsid w:val="0017667A"/>
    <w:rsid w:val="00177030"/>
    <w:rsid w:val="00180FE5"/>
    <w:rsid w:val="00181A0E"/>
    <w:rsid w:val="00183B49"/>
    <w:rsid w:val="001872EB"/>
    <w:rsid w:val="00187A77"/>
    <w:rsid w:val="00187D01"/>
    <w:rsid w:val="00187FB3"/>
    <w:rsid w:val="001914F6"/>
    <w:rsid w:val="0019769A"/>
    <w:rsid w:val="001979BC"/>
    <w:rsid w:val="00197CEC"/>
    <w:rsid w:val="00197D5D"/>
    <w:rsid w:val="00197E5B"/>
    <w:rsid w:val="001A03A2"/>
    <w:rsid w:val="001A221D"/>
    <w:rsid w:val="001A49F7"/>
    <w:rsid w:val="001A5132"/>
    <w:rsid w:val="001A517F"/>
    <w:rsid w:val="001A5AF3"/>
    <w:rsid w:val="001B2F35"/>
    <w:rsid w:val="001B6D0E"/>
    <w:rsid w:val="001B6DCD"/>
    <w:rsid w:val="001C327F"/>
    <w:rsid w:val="001C6B9D"/>
    <w:rsid w:val="001C7452"/>
    <w:rsid w:val="001C7862"/>
    <w:rsid w:val="001D0B13"/>
    <w:rsid w:val="001D15D4"/>
    <w:rsid w:val="001D17FC"/>
    <w:rsid w:val="001D3CB9"/>
    <w:rsid w:val="001D56B6"/>
    <w:rsid w:val="001D5D94"/>
    <w:rsid w:val="001D632F"/>
    <w:rsid w:val="001E1089"/>
    <w:rsid w:val="001E13D2"/>
    <w:rsid w:val="001E274C"/>
    <w:rsid w:val="001E45C8"/>
    <w:rsid w:val="001E4818"/>
    <w:rsid w:val="001E4D7E"/>
    <w:rsid w:val="001E7A64"/>
    <w:rsid w:val="001E7FD7"/>
    <w:rsid w:val="001F1E04"/>
    <w:rsid w:val="001F3229"/>
    <w:rsid w:val="001F3470"/>
    <w:rsid w:val="001F34D8"/>
    <w:rsid w:val="001F6175"/>
    <w:rsid w:val="001F6E86"/>
    <w:rsid w:val="001F7AD9"/>
    <w:rsid w:val="0020192F"/>
    <w:rsid w:val="00202781"/>
    <w:rsid w:val="002033D3"/>
    <w:rsid w:val="002036EB"/>
    <w:rsid w:val="00204C64"/>
    <w:rsid w:val="0020575F"/>
    <w:rsid w:val="00205CCC"/>
    <w:rsid w:val="00206401"/>
    <w:rsid w:val="00207C80"/>
    <w:rsid w:val="00212482"/>
    <w:rsid w:val="002132A2"/>
    <w:rsid w:val="0021342C"/>
    <w:rsid w:val="002148B1"/>
    <w:rsid w:val="00216419"/>
    <w:rsid w:val="0021672B"/>
    <w:rsid w:val="002245DF"/>
    <w:rsid w:val="00225E59"/>
    <w:rsid w:val="00226272"/>
    <w:rsid w:val="00230EFB"/>
    <w:rsid w:val="00231FDE"/>
    <w:rsid w:val="00233427"/>
    <w:rsid w:val="00233490"/>
    <w:rsid w:val="00235BF6"/>
    <w:rsid w:val="00236A20"/>
    <w:rsid w:val="00241312"/>
    <w:rsid w:val="00241750"/>
    <w:rsid w:val="00242F75"/>
    <w:rsid w:val="00243A48"/>
    <w:rsid w:val="00245CFA"/>
    <w:rsid w:val="00245FD6"/>
    <w:rsid w:val="00246082"/>
    <w:rsid w:val="0024722B"/>
    <w:rsid w:val="002476D4"/>
    <w:rsid w:val="0025205D"/>
    <w:rsid w:val="00252769"/>
    <w:rsid w:val="00252B07"/>
    <w:rsid w:val="002533DF"/>
    <w:rsid w:val="002566BB"/>
    <w:rsid w:val="00256940"/>
    <w:rsid w:val="00256A13"/>
    <w:rsid w:val="00261059"/>
    <w:rsid w:val="00263009"/>
    <w:rsid w:val="002634BD"/>
    <w:rsid w:val="002642C7"/>
    <w:rsid w:val="00266559"/>
    <w:rsid w:val="00266EA6"/>
    <w:rsid w:val="002670F2"/>
    <w:rsid w:val="00267A4E"/>
    <w:rsid w:val="00267D45"/>
    <w:rsid w:val="002750F5"/>
    <w:rsid w:val="00275EED"/>
    <w:rsid w:val="002767F6"/>
    <w:rsid w:val="0027686E"/>
    <w:rsid w:val="00276A20"/>
    <w:rsid w:val="00277A19"/>
    <w:rsid w:val="002803BD"/>
    <w:rsid w:val="00283524"/>
    <w:rsid w:val="00283633"/>
    <w:rsid w:val="0028744A"/>
    <w:rsid w:val="0028752A"/>
    <w:rsid w:val="0029029C"/>
    <w:rsid w:val="0029167C"/>
    <w:rsid w:val="002921E2"/>
    <w:rsid w:val="002926B3"/>
    <w:rsid w:val="002935EB"/>
    <w:rsid w:val="00293FC2"/>
    <w:rsid w:val="00294D5A"/>
    <w:rsid w:val="002A0EC7"/>
    <w:rsid w:val="002A132F"/>
    <w:rsid w:val="002A396F"/>
    <w:rsid w:val="002A3A3D"/>
    <w:rsid w:val="002A708B"/>
    <w:rsid w:val="002B0A73"/>
    <w:rsid w:val="002B0E42"/>
    <w:rsid w:val="002B13D2"/>
    <w:rsid w:val="002B1FEC"/>
    <w:rsid w:val="002B287C"/>
    <w:rsid w:val="002B34B7"/>
    <w:rsid w:val="002B369C"/>
    <w:rsid w:val="002B6111"/>
    <w:rsid w:val="002B634B"/>
    <w:rsid w:val="002B7DAA"/>
    <w:rsid w:val="002C0892"/>
    <w:rsid w:val="002C0957"/>
    <w:rsid w:val="002C2288"/>
    <w:rsid w:val="002C4051"/>
    <w:rsid w:val="002C48BC"/>
    <w:rsid w:val="002C55E2"/>
    <w:rsid w:val="002C68B0"/>
    <w:rsid w:val="002C6A1D"/>
    <w:rsid w:val="002D050B"/>
    <w:rsid w:val="002D3AF7"/>
    <w:rsid w:val="002D40E5"/>
    <w:rsid w:val="002D674E"/>
    <w:rsid w:val="002E0F3A"/>
    <w:rsid w:val="002E14A4"/>
    <w:rsid w:val="002E27DE"/>
    <w:rsid w:val="002E348B"/>
    <w:rsid w:val="002E414F"/>
    <w:rsid w:val="002E656F"/>
    <w:rsid w:val="002E6BFD"/>
    <w:rsid w:val="002E7ED8"/>
    <w:rsid w:val="002F0C21"/>
    <w:rsid w:val="002F2D4D"/>
    <w:rsid w:val="002F434D"/>
    <w:rsid w:val="002F5CB4"/>
    <w:rsid w:val="0030444B"/>
    <w:rsid w:val="00304487"/>
    <w:rsid w:val="00305A70"/>
    <w:rsid w:val="0030796D"/>
    <w:rsid w:val="00310D81"/>
    <w:rsid w:val="00311249"/>
    <w:rsid w:val="003135E2"/>
    <w:rsid w:val="00313803"/>
    <w:rsid w:val="003140F2"/>
    <w:rsid w:val="0031475E"/>
    <w:rsid w:val="00315740"/>
    <w:rsid w:val="00315899"/>
    <w:rsid w:val="0031604A"/>
    <w:rsid w:val="00316DDA"/>
    <w:rsid w:val="003214A4"/>
    <w:rsid w:val="00321591"/>
    <w:rsid w:val="003225C7"/>
    <w:rsid w:val="00322FE0"/>
    <w:rsid w:val="003232C7"/>
    <w:rsid w:val="003238D0"/>
    <w:rsid w:val="00323C62"/>
    <w:rsid w:val="003244A3"/>
    <w:rsid w:val="00326336"/>
    <w:rsid w:val="00327C4F"/>
    <w:rsid w:val="00330BDA"/>
    <w:rsid w:val="00332DB5"/>
    <w:rsid w:val="003356DC"/>
    <w:rsid w:val="00337A2F"/>
    <w:rsid w:val="0034054B"/>
    <w:rsid w:val="00342ED3"/>
    <w:rsid w:val="00344669"/>
    <w:rsid w:val="00344DDD"/>
    <w:rsid w:val="0034564C"/>
    <w:rsid w:val="00345EBC"/>
    <w:rsid w:val="00346515"/>
    <w:rsid w:val="00347C09"/>
    <w:rsid w:val="00350464"/>
    <w:rsid w:val="00351B7E"/>
    <w:rsid w:val="00352FDA"/>
    <w:rsid w:val="003537DB"/>
    <w:rsid w:val="00353B38"/>
    <w:rsid w:val="003543D5"/>
    <w:rsid w:val="003548D7"/>
    <w:rsid w:val="003550FC"/>
    <w:rsid w:val="00355494"/>
    <w:rsid w:val="003569C4"/>
    <w:rsid w:val="0036082A"/>
    <w:rsid w:val="003619E9"/>
    <w:rsid w:val="00363FA8"/>
    <w:rsid w:val="0036488C"/>
    <w:rsid w:val="00366E74"/>
    <w:rsid w:val="00367B31"/>
    <w:rsid w:val="0037047B"/>
    <w:rsid w:val="00374405"/>
    <w:rsid w:val="003761F0"/>
    <w:rsid w:val="003769CC"/>
    <w:rsid w:val="00377B25"/>
    <w:rsid w:val="00377F57"/>
    <w:rsid w:val="00380768"/>
    <w:rsid w:val="0038323C"/>
    <w:rsid w:val="00386284"/>
    <w:rsid w:val="0039068A"/>
    <w:rsid w:val="00391148"/>
    <w:rsid w:val="00392072"/>
    <w:rsid w:val="003923AA"/>
    <w:rsid w:val="0039397B"/>
    <w:rsid w:val="00393C93"/>
    <w:rsid w:val="00394127"/>
    <w:rsid w:val="00397784"/>
    <w:rsid w:val="003A0D5B"/>
    <w:rsid w:val="003A2046"/>
    <w:rsid w:val="003A2449"/>
    <w:rsid w:val="003A3419"/>
    <w:rsid w:val="003A73EA"/>
    <w:rsid w:val="003B0470"/>
    <w:rsid w:val="003B348E"/>
    <w:rsid w:val="003B4A5F"/>
    <w:rsid w:val="003B4FDA"/>
    <w:rsid w:val="003B509E"/>
    <w:rsid w:val="003B71B8"/>
    <w:rsid w:val="003C0710"/>
    <w:rsid w:val="003C3E79"/>
    <w:rsid w:val="003C4F22"/>
    <w:rsid w:val="003C63E5"/>
    <w:rsid w:val="003C6F71"/>
    <w:rsid w:val="003C6F9C"/>
    <w:rsid w:val="003C72A3"/>
    <w:rsid w:val="003C7EE0"/>
    <w:rsid w:val="003D3D75"/>
    <w:rsid w:val="003D5302"/>
    <w:rsid w:val="003E0703"/>
    <w:rsid w:val="003E0A07"/>
    <w:rsid w:val="003E1D0E"/>
    <w:rsid w:val="003E2FB3"/>
    <w:rsid w:val="003E3267"/>
    <w:rsid w:val="003E34CF"/>
    <w:rsid w:val="003E66B9"/>
    <w:rsid w:val="003F01E4"/>
    <w:rsid w:val="003F0200"/>
    <w:rsid w:val="003F0D20"/>
    <w:rsid w:val="003F2B74"/>
    <w:rsid w:val="003F51B0"/>
    <w:rsid w:val="003F52FD"/>
    <w:rsid w:val="003F58BA"/>
    <w:rsid w:val="003F7E09"/>
    <w:rsid w:val="00400EA1"/>
    <w:rsid w:val="004016EC"/>
    <w:rsid w:val="00401908"/>
    <w:rsid w:val="0040360C"/>
    <w:rsid w:val="00404CB5"/>
    <w:rsid w:val="0040607F"/>
    <w:rsid w:val="00406C2C"/>
    <w:rsid w:val="004118E4"/>
    <w:rsid w:val="0041300B"/>
    <w:rsid w:val="00414B3D"/>
    <w:rsid w:val="00415B3E"/>
    <w:rsid w:val="004174F9"/>
    <w:rsid w:val="004208DA"/>
    <w:rsid w:val="004228FD"/>
    <w:rsid w:val="00422925"/>
    <w:rsid w:val="00422A41"/>
    <w:rsid w:val="004247FA"/>
    <w:rsid w:val="00424D7A"/>
    <w:rsid w:val="00426147"/>
    <w:rsid w:val="004266EA"/>
    <w:rsid w:val="00427283"/>
    <w:rsid w:val="0042759E"/>
    <w:rsid w:val="00427FB4"/>
    <w:rsid w:val="00430030"/>
    <w:rsid w:val="004304FE"/>
    <w:rsid w:val="004306E0"/>
    <w:rsid w:val="00431367"/>
    <w:rsid w:val="0043267E"/>
    <w:rsid w:val="00432D06"/>
    <w:rsid w:val="0043345C"/>
    <w:rsid w:val="00433839"/>
    <w:rsid w:val="00437392"/>
    <w:rsid w:val="00440D5E"/>
    <w:rsid w:val="00443371"/>
    <w:rsid w:val="00443C8A"/>
    <w:rsid w:val="004450F2"/>
    <w:rsid w:val="0044537A"/>
    <w:rsid w:val="00445DD4"/>
    <w:rsid w:val="00452953"/>
    <w:rsid w:val="004547E1"/>
    <w:rsid w:val="004563BD"/>
    <w:rsid w:val="0046120D"/>
    <w:rsid w:val="004617F5"/>
    <w:rsid w:val="004619FB"/>
    <w:rsid w:val="0046368A"/>
    <w:rsid w:val="0046406E"/>
    <w:rsid w:val="004664AD"/>
    <w:rsid w:val="00467830"/>
    <w:rsid w:val="0046788A"/>
    <w:rsid w:val="004706BB"/>
    <w:rsid w:val="00474237"/>
    <w:rsid w:val="004751F4"/>
    <w:rsid w:val="004765E0"/>
    <w:rsid w:val="004768DF"/>
    <w:rsid w:val="004826C1"/>
    <w:rsid w:val="004829F0"/>
    <w:rsid w:val="00484124"/>
    <w:rsid w:val="00486B72"/>
    <w:rsid w:val="00487CF4"/>
    <w:rsid w:val="00491A95"/>
    <w:rsid w:val="00492F78"/>
    <w:rsid w:val="004938D9"/>
    <w:rsid w:val="004950CB"/>
    <w:rsid w:val="004958D8"/>
    <w:rsid w:val="004973B9"/>
    <w:rsid w:val="004977AB"/>
    <w:rsid w:val="00497830"/>
    <w:rsid w:val="004978CA"/>
    <w:rsid w:val="004A1FAC"/>
    <w:rsid w:val="004A2267"/>
    <w:rsid w:val="004A5E00"/>
    <w:rsid w:val="004A7447"/>
    <w:rsid w:val="004B15F7"/>
    <w:rsid w:val="004B16AE"/>
    <w:rsid w:val="004B615E"/>
    <w:rsid w:val="004B649C"/>
    <w:rsid w:val="004B79A3"/>
    <w:rsid w:val="004C0638"/>
    <w:rsid w:val="004C1C59"/>
    <w:rsid w:val="004C3257"/>
    <w:rsid w:val="004C3AD1"/>
    <w:rsid w:val="004D24AF"/>
    <w:rsid w:val="004D2835"/>
    <w:rsid w:val="004D5A49"/>
    <w:rsid w:val="004D720E"/>
    <w:rsid w:val="004E13A7"/>
    <w:rsid w:val="004E18E4"/>
    <w:rsid w:val="004E195C"/>
    <w:rsid w:val="004E1FA4"/>
    <w:rsid w:val="004E2351"/>
    <w:rsid w:val="004E2468"/>
    <w:rsid w:val="004E2932"/>
    <w:rsid w:val="004E42AF"/>
    <w:rsid w:val="004E5116"/>
    <w:rsid w:val="004E51F4"/>
    <w:rsid w:val="004E673C"/>
    <w:rsid w:val="004E7490"/>
    <w:rsid w:val="004F1654"/>
    <w:rsid w:val="004F2A3D"/>
    <w:rsid w:val="004F4740"/>
    <w:rsid w:val="004F4AA8"/>
    <w:rsid w:val="004F4FAB"/>
    <w:rsid w:val="004F723A"/>
    <w:rsid w:val="00500912"/>
    <w:rsid w:val="005022AF"/>
    <w:rsid w:val="00502410"/>
    <w:rsid w:val="00502A54"/>
    <w:rsid w:val="0050680D"/>
    <w:rsid w:val="005108AE"/>
    <w:rsid w:val="00510AD9"/>
    <w:rsid w:val="00511842"/>
    <w:rsid w:val="005119D6"/>
    <w:rsid w:val="00516679"/>
    <w:rsid w:val="00520E50"/>
    <w:rsid w:val="00521122"/>
    <w:rsid w:val="00521A4D"/>
    <w:rsid w:val="00522BB1"/>
    <w:rsid w:val="005232F4"/>
    <w:rsid w:val="00524155"/>
    <w:rsid w:val="0052422C"/>
    <w:rsid w:val="00525C8C"/>
    <w:rsid w:val="00527668"/>
    <w:rsid w:val="005277DF"/>
    <w:rsid w:val="00533DBB"/>
    <w:rsid w:val="0053455A"/>
    <w:rsid w:val="00535405"/>
    <w:rsid w:val="005354E7"/>
    <w:rsid w:val="00535991"/>
    <w:rsid w:val="005369BD"/>
    <w:rsid w:val="00537474"/>
    <w:rsid w:val="00540229"/>
    <w:rsid w:val="0054179A"/>
    <w:rsid w:val="00542592"/>
    <w:rsid w:val="00542FE3"/>
    <w:rsid w:val="005445C3"/>
    <w:rsid w:val="0054486C"/>
    <w:rsid w:val="00550228"/>
    <w:rsid w:val="0055144E"/>
    <w:rsid w:val="005518DF"/>
    <w:rsid w:val="005542C1"/>
    <w:rsid w:val="00554F7C"/>
    <w:rsid w:val="0056119E"/>
    <w:rsid w:val="00561754"/>
    <w:rsid w:val="0056281B"/>
    <w:rsid w:val="00565EC9"/>
    <w:rsid w:val="00566E8E"/>
    <w:rsid w:val="00567F08"/>
    <w:rsid w:val="005709A3"/>
    <w:rsid w:val="005741CA"/>
    <w:rsid w:val="005755FE"/>
    <w:rsid w:val="0057642E"/>
    <w:rsid w:val="00577B5D"/>
    <w:rsid w:val="00582F30"/>
    <w:rsid w:val="0058353F"/>
    <w:rsid w:val="00584B3C"/>
    <w:rsid w:val="00585026"/>
    <w:rsid w:val="00586BAC"/>
    <w:rsid w:val="00587443"/>
    <w:rsid w:val="00587753"/>
    <w:rsid w:val="00591018"/>
    <w:rsid w:val="00591DCF"/>
    <w:rsid w:val="00594130"/>
    <w:rsid w:val="0059794B"/>
    <w:rsid w:val="005A2B8B"/>
    <w:rsid w:val="005A4BB6"/>
    <w:rsid w:val="005A6E46"/>
    <w:rsid w:val="005B03B0"/>
    <w:rsid w:val="005B0F49"/>
    <w:rsid w:val="005B0FD8"/>
    <w:rsid w:val="005B1143"/>
    <w:rsid w:val="005B128D"/>
    <w:rsid w:val="005B4B5B"/>
    <w:rsid w:val="005B7C3B"/>
    <w:rsid w:val="005C1122"/>
    <w:rsid w:val="005C1F02"/>
    <w:rsid w:val="005C3705"/>
    <w:rsid w:val="005C7D79"/>
    <w:rsid w:val="005D1F8E"/>
    <w:rsid w:val="005D3D02"/>
    <w:rsid w:val="005D543D"/>
    <w:rsid w:val="005D5B1B"/>
    <w:rsid w:val="005D5DDA"/>
    <w:rsid w:val="005D648F"/>
    <w:rsid w:val="005D7167"/>
    <w:rsid w:val="005E4C9D"/>
    <w:rsid w:val="005E7B55"/>
    <w:rsid w:val="005F26CF"/>
    <w:rsid w:val="005F300F"/>
    <w:rsid w:val="005F4DE8"/>
    <w:rsid w:val="005F6C48"/>
    <w:rsid w:val="005F7435"/>
    <w:rsid w:val="006014B3"/>
    <w:rsid w:val="0060218B"/>
    <w:rsid w:val="006035B8"/>
    <w:rsid w:val="0061464D"/>
    <w:rsid w:val="006150D6"/>
    <w:rsid w:val="0061619F"/>
    <w:rsid w:val="00616721"/>
    <w:rsid w:val="00623021"/>
    <w:rsid w:val="0062310C"/>
    <w:rsid w:val="00623EB5"/>
    <w:rsid w:val="00630155"/>
    <w:rsid w:val="00630189"/>
    <w:rsid w:val="0063037C"/>
    <w:rsid w:val="006307B2"/>
    <w:rsid w:val="00630E09"/>
    <w:rsid w:val="006328AF"/>
    <w:rsid w:val="00634BAE"/>
    <w:rsid w:val="00634D30"/>
    <w:rsid w:val="00634DE1"/>
    <w:rsid w:val="006410DA"/>
    <w:rsid w:val="00644B10"/>
    <w:rsid w:val="006464DF"/>
    <w:rsid w:val="00646F2C"/>
    <w:rsid w:val="006500E3"/>
    <w:rsid w:val="0065064B"/>
    <w:rsid w:val="00652CFA"/>
    <w:rsid w:val="0065319B"/>
    <w:rsid w:val="0065530D"/>
    <w:rsid w:val="00655412"/>
    <w:rsid w:val="0065552E"/>
    <w:rsid w:val="0065770B"/>
    <w:rsid w:val="00657E7A"/>
    <w:rsid w:val="00660816"/>
    <w:rsid w:val="00661110"/>
    <w:rsid w:val="00661AC1"/>
    <w:rsid w:val="00662283"/>
    <w:rsid w:val="00662624"/>
    <w:rsid w:val="00662778"/>
    <w:rsid w:val="0066338A"/>
    <w:rsid w:val="00666FD0"/>
    <w:rsid w:val="0067026D"/>
    <w:rsid w:val="00673816"/>
    <w:rsid w:val="00676A65"/>
    <w:rsid w:val="0068199F"/>
    <w:rsid w:val="006821BA"/>
    <w:rsid w:val="00682DA2"/>
    <w:rsid w:val="0068348C"/>
    <w:rsid w:val="0068356B"/>
    <w:rsid w:val="0068547E"/>
    <w:rsid w:val="006904E6"/>
    <w:rsid w:val="00691E77"/>
    <w:rsid w:val="00694D92"/>
    <w:rsid w:val="00695773"/>
    <w:rsid w:val="006A082F"/>
    <w:rsid w:val="006A2A62"/>
    <w:rsid w:val="006A2B43"/>
    <w:rsid w:val="006A3883"/>
    <w:rsid w:val="006A4309"/>
    <w:rsid w:val="006A65C1"/>
    <w:rsid w:val="006A7541"/>
    <w:rsid w:val="006B130D"/>
    <w:rsid w:val="006B6196"/>
    <w:rsid w:val="006B6A5F"/>
    <w:rsid w:val="006C0A6E"/>
    <w:rsid w:val="006C2141"/>
    <w:rsid w:val="006C3ED8"/>
    <w:rsid w:val="006C4D05"/>
    <w:rsid w:val="006C5489"/>
    <w:rsid w:val="006C6A46"/>
    <w:rsid w:val="006C78FD"/>
    <w:rsid w:val="006C7C05"/>
    <w:rsid w:val="006C7CBC"/>
    <w:rsid w:val="006D02E1"/>
    <w:rsid w:val="006D0BE1"/>
    <w:rsid w:val="006D3B82"/>
    <w:rsid w:val="006D5C75"/>
    <w:rsid w:val="006D6131"/>
    <w:rsid w:val="006D672C"/>
    <w:rsid w:val="006D7800"/>
    <w:rsid w:val="006E1B8C"/>
    <w:rsid w:val="006E2369"/>
    <w:rsid w:val="006E4467"/>
    <w:rsid w:val="006E65E0"/>
    <w:rsid w:val="006E7B20"/>
    <w:rsid w:val="006F005F"/>
    <w:rsid w:val="006F0D29"/>
    <w:rsid w:val="006F14AB"/>
    <w:rsid w:val="006F6E0A"/>
    <w:rsid w:val="006F7CAE"/>
    <w:rsid w:val="0070001C"/>
    <w:rsid w:val="00700FEC"/>
    <w:rsid w:val="00701782"/>
    <w:rsid w:val="0070294C"/>
    <w:rsid w:val="00703AA1"/>
    <w:rsid w:val="007045AC"/>
    <w:rsid w:val="0070469A"/>
    <w:rsid w:val="007054E3"/>
    <w:rsid w:val="00706029"/>
    <w:rsid w:val="00706C7B"/>
    <w:rsid w:val="007078E9"/>
    <w:rsid w:val="0071147E"/>
    <w:rsid w:val="007120ED"/>
    <w:rsid w:val="0071252E"/>
    <w:rsid w:val="0071331D"/>
    <w:rsid w:val="007140C8"/>
    <w:rsid w:val="00715161"/>
    <w:rsid w:val="00715396"/>
    <w:rsid w:val="007153D5"/>
    <w:rsid w:val="0071553C"/>
    <w:rsid w:val="00720360"/>
    <w:rsid w:val="00721946"/>
    <w:rsid w:val="00725F67"/>
    <w:rsid w:val="0072654D"/>
    <w:rsid w:val="00726DB1"/>
    <w:rsid w:val="00727CDD"/>
    <w:rsid w:val="00727FCA"/>
    <w:rsid w:val="00730EA8"/>
    <w:rsid w:val="00731BEF"/>
    <w:rsid w:val="00735834"/>
    <w:rsid w:val="00735C68"/>
    <w:rsid w:val="00736734"/>
    <w:rsid w:val="0074025D"/>
    <w:rsid w:val="0074130E"/>
    <w:rsid w:val="00744826"/>
    <w:rsid w:val="00745CE1"/>
    <w:rsid w:val="007468FC"/>
    <w:rsid w:val="00747A80"/>
    <w:rsid w:val="00750F98"/>
    <w:rsid w:val="0075417B"/>
    <w:rsid w:val="00756A7A"/>
    <w:rsid w:val="00760318"/>
    <w:rsid w:val="0076093B"/>
    <w:rsid w:val="007621BC"/>
    <w:rsid w:val="00762532"/>
    <w:rsid w:val="00762BD9"/>
    <w:rsid w:val="007636E2"/>
    <w:rsid w:val="00764CE6"/>
    <w:rsid w:val="007655FE"/>
    <w:rsid w:val="007665D9"/>
    <w:rsid w:val="007676DF"/>
    <w:rsid w:val="0077095B"/>
    <w:rsid w:val="0077155B"/>
    <w:rsid w:val="00774A73"/>
    <w:rsid w:val="0078097E"/>
    <w:rsid w:val="007814A2"/>
    <w:rsid w:val="00781591"/>
    <w:rsid w:val="00782D87"/>
    <w:rsid w:val="007833D1"/>
    <w:rsid w:val="0078340C"/>
    <w:rsid w:val="00784B9B"/>
    <w:rsid w:val="00785ACC"/>
    <w:rsid w:val="00786821"/>
    <w:rsid w:val="00786895"/>
    <w:rsid w:val="00791046"/>
    <w:rsid w:val="00792439"/>
    <w:rsid w:val="00792B59"/>
    <w:rsid w:val="007936C4"/>
    <w:rsid w:val="007942AF"/>
    <w:rsid w:val="00795D8D"/>
    <w:rsid w:val="00796636"/>
    <w:rsid w:val="00796E8D"/>
    <w:rsid w:val="00796EE5"/>
    <w:rsid w:val="007A09B4"/>
    <w:rsid w:val="007A4113"/>
    <w:rsid w:val="007A6965"/>
    <w:rsid w:val="007A782F"/>
    <w:rsid w:val="007A7B13"/>
    <w:rsid w:val="007A7CA8"/>
    <w:rsid w:val="007B07B5"/>
    <w:rsid w:val="007B0BCE"/>
    <w:rsid w:val="007B288B"/>
    <w:rsid w:val="007B3DF0"/>
    <w:rsid w:val="007B6579"/>
    <w:rsid w:val="007B65AE"/>
    <w:rsid w:val="007B761F"/>
    <w:rsid w:val="007C0B0E"/>
    <w:rsid w:val="007C1AF9"/>
    <w:rsid w:val="007C1B83"/>
    <w:rsid w:val="007C44FD"/>
    <w:rsid w:val="007C5019"/>
    <w:rsid w:val="007C6DDC"/>
    <w:rsid w:val="007D732B"/>
    <w:rsid w:val="007D7F99"/>
    <w:rsid w:val="007E0245"/>
    <w:rsid w:val="007E0B09"/>
    <w:rsid w:val="007E39A8"/>
    <w:rsid w:val="007E43F6"/>
    <w:rsid w:val="007E5823"/>
    <w:rsid w:val="007F0D5F"/>
    <w:rsid w:val="007F1828"/>
    <w:rsid w:val="007F2BC1"/>
    <w:rsid w:val="007F2F8E"/>
    <w:rsid w:val="007F33F8"/>
    <w:rsid w:val="007F3B6B"/>
    <w:rsid w:val="007F72E8"/>
    <w:rsid w:val="007F73C2"/>
    <w:rsid w:val="007F74C8"/>
    <w:rsid w:val="007F7AED"/>
    <w:rsid w:val="00800068"/>
    <w:rsid w:val="00805020"/>
    <w:rsid w:val="00805028"/>
    <w:rsid w:val="00805BE8"/>
    <w:rsid w:val="00805D08"/>
    <w:rsid w:val="00806E1C"/>
    <w:rsid w:val="00810621"/>
    <w:rsid w:val="00814810"/>
    <w:rsid w:val="0081625A"/>
    <w:rsid w:val="0082157C"/>
    <w:rsid w:val="00822332"/>
    <w:rsid w:val="00822FDA"/>
    <w:rsid w:val="008230D2"/>
    <w:rsid w:val="00823395"/>
    <w:rsid w:val="008235C6"/>
    <w:rsid w:val="00824C5E"/>
    <w:rsid w:val="00825189"/>
    <w:rsid w:val="00826564"/>
    <w:rsid w:val="00826716"/>
    <w:rsid w:val="00827BF7"/>
    <w:rsid w:val="00830903"/>
    <w:rsid w:val="008324E6"/>
    <w:rsid w:val="00832F35"/>
    <w:rsid w:val="00833473"/>
    <w:rsid w:val="008338A4"/>
    <w:rsid w:val="0083517E"/>
    <w:rsid w:val="00835AEB"/>
    <w:rsid w:val="00847E37"/>
    <w:rsid w:val="00852CCC"/>
    <w:rsid w:val="00853053"/>
    <w:rsid w:val="00853679"/>
    <w:rsid w:val="0085387A"/>
    <w:rsid w:val="00855116"/>
    <w:rsid w:val="00855204"/>
    <w:rsid w:val="0085643B"/>
    <w:rsid w:val="00857208"/>
    <w:rsid w:val="0085731B"/>
    <w:rsid w:val="00860252"/>
    <w:rsid w:val="00860F19"/>
    <w:rsid w:val="00863AC0"/>
    <w:rsid w:val="00863EF7"/>
    <w:rsid w:val="00864428"/>
    <w:rsid w:val="00865C1B"/>
    <w:rsid w:val="00866B83"/>
    <w:rsid w:val="00867F92"/>
    <w:rsid w:val="00870C72"/>
    <w:rsid w:val="00871209"/>
    <w:rsid w:val="00871A51"/>
    <w:rsid w:val="0087276B"/>
    <w:rsid w:val="0087290E"/>
    <w:rsid w:val="00872AAD"/>
    <w:rsid w:val="00872E55"/>
    <w:rsid w:val="00874991"/>
    <w:rsid w:val="0087499B"/>
    <w:rsid w:val="00874EEB"/>
    <w:rsid w:val="00874FC1"/>
    <w:rsid w:val="00875A04"/>
    <w:rsid w:val="008760D7"/>
    <w:rsid w:val="008800BC"/>
    <w:rsid w:val="0088015A"/>
    <w:rsid w:val="00880AAF"/>
    <w:rsid w:val="00884545"/>
    <w:rsid w:val="00884C87"/>
    <w:rsid w:val="00886573"/>
    <w:rsid w:val="00887AFC"/>
    <w:rsid w:val="0089176A"/>
    <w:rsid w:val="00892245"/>
    <w:rsid w:val="0089304B"/>
    <w:rsid w:val="00895703"/>
    <w:rsid w:val="00895C89"/>
    <w:rsid w:val="008A04E2"/>
    <w:rsid w:val="008A0F40"/>
    <w:rsid w:val="008A1220"/>
    <w:rsid w:val="008A2622"/>
    <w:rsid w:val="008A2919"/>
    <w:rsid w:val="008A351F"/>
    <w:rsid w:val="008A56A2"/>
    <w:rsid w:val="008A582C"/>
    <w:rsid w:val="008B1714"/>
    <w:rsid w:val="008B2FF9"/>
    <w:rsid w:val="008B30AC"/>
    <w:rsid w:val="008B6958"/>
    <w:rsid w:val="008C04B6"/>
    <w:rsid w:val="008C0CA7"/>
    <w:rsid w:val="008C1D05"/>
    <w:rsid w:val="008C2255"/>
    <w:rsid w:val="008C3157"/>
    <w:rsid w:val="008C3B31"/>
    <w:rsid w:val="008C6E5A"/>
    <w:rsid w:val="008D42C5"/>
    <w:rsid w:val="008D68AD"/>
    <w:rsid w:val="008D6D42"/>
    <w:rsid w:val="008D73C0"/>
    <w:rsid w:val="008D7DF7"/>
    <w:rsid w:val="008E138D"/>
    <w:rsid w:val="008E3007"/>
    <w:rsid w:val="008E335A"/>
    <w:rsid w:val="008E34A3"/>
    <w:rsid w:val="008E3796"/>
    <w:rsid w:val="008E3E13"/>
    <w:rsid w:val="008E4276"/>
    <w:rsid w:val="008E6067"/>
    <w:rsid w:val="008F2414"/>
    <w:rsid w:val="008F2F13"/>
    <w:rsid w:val="008F433B"/>
    <w:rsid w:val="008F6ED5"/>
    <w:rsid w:val="008F792E"/>
    <w:rsid w:val="00900F9A"/>
    <w:rsid w:val="0090129D"/>
    <w:rsid w:val="00903736"/>
    <w:rsid w:val="0090449F"/>
    <w:rsid w:val="00910233"/>
    <w:rsid w:val="00910393"/>
    <w:rsid w:val="00911179"/>
    <w:rsid w:val="0091183B"/>
    <w:rsid w:val="00913B91"/>
    <w:rsid w:val="00914681"/>
    <w:rsid w:val="00915869"/>
    <w:rsid w:val="00916EAE"/>
    <w:rsid w:val="00917010"/>
    <w:rsid w:val="00920421"/>
    <w:rsid w:val="00921079"/>
    <w:rsid w:val="00921149"/>
    <w:rsid w:val="009228AD"/>
    <w:rsid w:val="009228EE"/>
    <w:rsid w:val="009231E0"/>
    <w:rsid w:val="00923317"/>
    <w:rsid w:val="0092421F"/>
    <w:rsid w:val="009246A9"/>
    <w:rsid w:val="009265A6"/>
    <w:rsid w:val="00927C3C"/>
    <w:rsid w:val="009308FA"/>
    <w:rsid w:val="009349C5"/>
    <w:rsid w:val="0093549E"/>
    <w:rsid w:val="00935BE6"/>
    <w:rsid w:val="00942348"/>
    <w:rsid w:val="00942FA1"/>
    <w:rsid w:val="00944EA7"/>
    <w:rsid w:val="0094517C"/>
    <w:rsid w:val="00945DE3"/>
    <w:rsid w:val="009534AA"/>
    <w:rsid w:val="0095361E"/>
    <w:rsid w:val="00954535"/>
    <w:rsid w:val="009564A3"/>
    <w:rsid w:val="009578B7"/>
    <w:rsid w:val="00962970"/>
    <w:rsid w:val="00964DA3"/>
    <w:rsid w:val="009651E0"/>
    <w:rsid w:val="00966D1E"/>
    <w:rsid w:val="00966D44"/>
    <w:rsid w:val="00970428"/>
    <w:rsid w:val="00971A1F"/>
    <w:rsid w:val="00973027"/>
    <w:rsid w:val="009731C5"/>
    <w:rsid w:val="009761B1"/>
    <w:rsid w:val="00976863"/>
    <w:rsid w:val="009804BF"/>
    <w:rsid w:val="0098149B"/>
    <w:rsid w:val="009817BC"/>
    <w:rsid w:val="00983215"/>
    <w:rsid w:val="009870E2"/>
    <w:rsid w:val="00992032"/>
    <w:rsid w:val="0099367D"/>
    <w:rsid w:val="009978E1"/>
    <w:rsid w:val="00997C11"/>
    <w:rsid w:val="009A0D8E"/>
    <w:rsid w:val="009A1075"/>
    <w:rsid w:val="009A1559"/>
    <w:rsid w:val="009A2447"/>
    <w:rsid w:val="009A339B"/>
    <w:rsid w:val="009A3CC6"/>
    <w:rsid w:val="009A405A"/>
    <w:rsid w:val="009A409E"/>
    <w:rsid w:val="009A706B"/>
    <w:rsid w:val="009B18AB"/>
    <w:rsid w:val="009B25E4"/>
    <w:rsid w:val="009B3E9B"/>
    <w:rsid w:val="009B416A"/>
    <w:rsid w:val="009B42CF"/>
    <w:rsid w:val="009B5575"/>
    <w:rsid w:val="009B58A1"/>
    <w:rsid w:val="009C0349"/>
    <w:rsid w:val="009C05E5"/>
    <w:rsid w:val="009C1E85"/>
    <w:rsid w:val="009C2F3A"/>
    <w:rsid w:val="009C7696"/>
    <w:rsid w:val="009D04AA"/>
    <w:rsid w:val="009D0D6D"/>
    <w:rsid w:val="009D1557"/>
    <w:rsid w:val="009D650F"/>
    <w:rsid w:val="009E3679"/>
    <w:rsid w:val="009E3DAA"/>
    <w:rsid w:val="009F0F17"/>
    <w:rsid w:val="009F3CE0"/>
    <w:rsid w:val="009F4264"/>
    <w:rsid w:val="009F5A29"/>
    <w:rsid w:val="009F6BC9"/>
    <w:rsid w:val="009F79EE"/>
    <w:rsid w:val="00A032D4"/>
    <w:rsid w:val="00A0621D"/>
    <w:rsid w:val="00A07313"/>
    <w:rsid w:val="00A104AE"/>
    <w:rsid w:val="00A106EB"/>
    <w:rsid w:val="00A10D17"/>
    <w:rsid w:val="00A13208"/>
    <w:rsid w:val="00A140A3"/>
    <w:rsid w:val="00A14C53"/>
    <w:rsid w:val="00A161E0"/>
    <w:rsid w:val="00A164EF"/>
    <w:rsid w:val="00A209AA"/>
    <w:rsid w:val="00A20E27"/>
    <w:rsid w:val="00A22843"/>
    <w:rsid w:val="00A25218"/>
    <w:rsid w:val="00A259C9"/>
    <w:rsid w:val="00A324EE"/>
    <w:rsid w:val="00A360AA"/>
    <w:rsid w:val="00A364B5"/>
    <w:rsid w:val="00A3663E"/>
    <w:rsid w:val="00A41D8E"/>
    <w:rsid w:val="00A433B3"/>
    <w:rsid w:val="00A4757A"/>
    <w:rsid w:val="00A477BC"/>
    <w:rsid w:val="00A4785A"/>
    <w:rsid w:val="00A50191"/>
    <w:rsid w:val="00A50799"/>
    <w:rsid w:val="00A50CF9"/>
    <w:rsid w:val="00A53C24"/>
    <w:rsid w:val="00A53DD0"/>
    <w:rsid w:val="00A53F0B"/>
    <w:rsid w:val="00A5519E"/>
    <w:rsid w:val="00A551C2"/>
    <w:rsid w:val="00A5561F"/>
    <w:rsid w:val="00A626EE"/>
    <w:rsid w:val="00A627A0"/>
    <w:rsid w:val="00A64B77"/>
    <w:rsid w:val="00A7081E"/>
    <w:rsid w:val="00A70BAE"/>
    <w:rsid w:val="00A71231"/>
    <w:rsid w:val="00A714EC"/>
    <w:rsid w:val="00A71A92"/>
    <w:rsid w:val="00A72875"/>
    <w:rsid w:val="00A7309A"/>
    <w:rsid w:val="00A73C13"/>
    <w:rsid w:val="00A73C7E"/>
    <w:rsid w:val="00A75A90"/>
    <w:rsid w:val="00A83435"/>
    <w:rsid w:val="00A8370D"/>
    <w:rsid w:val="00A8440E"/>
    <w:rsid w:val="00A86112"/>
    <w:rsid w:val="00A870D0"/>
    <w:rsid w:val="00A90EFE"/>
    <w:rsid w:val="00A91DD4"/>
    <w:rsid w:val="00A9414E"/>
    <w:rsid w:val="00A951DF"/>
    <w:rsid w:val="00AA2CAC"/>
    <w:rsid w:val="00AA3C2C"/>
    <w:rsid w:val="00AA65AD"/>
    <w:rsid w:val="00AA65D2"/>
    <w:rsid w:val="00AB06BF"/>
    <w:rsid w:val="00AB2471"/>
    <w:rsid w:val="00AB438F"/>
    <w:rsid w:val="00AB51A3"/>
    <w:rsid w:val="00AB6F1A"/>
    <w:rsid w:val="00AB6F99"/>
    <w:rsid w:val="00AC2A65"/>
    <w:rsid w:val="00AC34B7"/>
    <w:rsid w:val="00AC3CF6"/>
    <w:rsid w:val="00AC4072"/>
    <w:rsid w:val="00AC5E25"/>
    <w:rsid w:val="00AC5F52"/>
    <w:rsid w:val="00AC7409"/>
    <w:rsid w:val="00AD2CC4"/>
    <w:rsid w:val="00AD2E6B"/>
    <w:rsid w:val="00AD5E14"/>
    <w:rsid w:val="00AD6173"/>
    <w:rsid w:val="00AD6680"/>
    <w:rsid w:val="00AD6B1D"/>
    <w:rsid w:val="00AE0852"/>
    <w:rsid w:val="00AE18CE"/>
    <w:rsid w:val="00AE3278"/>
    <w:rsid w:val="00AE4809"/>
    <w:rsid w:val="00AE579F"/>
    <w:rsid w:val="00AE5956"/>
    <w:rsid w:val="00AE5F00"/>
    <w:rsid w:val="00AF055D"/>
    <w:rsid w:val="00AF3FB7"/>
    <w:rsid w:val="00AF503F"/>
    <w:rsid w:val="00B0076E"/>
    <w:rsid w:val="00B01C21"/>
    <w:rsid w:val="00B048F1"/>
    <w:rsid w:val="00B0779A"/>
    <w:rsid w:val="00B0794B"/>
    <w:rsid w:val="00B1224D"/>
    <w:rsid w:val="00B1426C"/>
    <w:rsid w:val="00B20834"/>
    <w:rsid w:val="00B2108F"/>
    <w:rsid w:val="00B21975"/>
    <w:rsid w:val="00B22661"/>
    <w:rsid w:val="00B30831"/>
    <w:rsid w:val="00B35D6E"/>
    <w:rsid w:val="00B368C2"/>
    <w:rsid w:val="00B40BA2"/>
    <w:rsid w:val="00B41510"/>
    <w:rsid w:val="00B42FED"/>
    <w:rsid w:val="00B44820"/>
    <w:rsid w:val="00B45E20"/>
    <w:rsid w:val="00B46B5B"/>
    <w:rsid w:val="00B47EB9"/>
    <w:rsid w:val="00B5169A"/>
    <w:rsid w:val="00B52BF4"/>
    <w:rsid w:val="00B550DF"/>
    <w:rsid w:val="00B551AB"/>
    <w:rsid w:val="00B5578F"/>
    <w:rsid w:val="00B5654C"/>
    <w:rsid w:val="00B56E15"/>
    <w:rsid w:val="00B606FB"/>
    <w:rsid w:val="00B60FB9"/>
    <w:rsid w:val="00B62E9D"/>
    <w:rsid w:val="00B63E75"/>
    <w:rsid w:val="00B66729"/>
    <w:rsid w:val="00B6676B"/>
    <w:rsid w:val="00B67ABF"/>
    <w:rsid w:val="00B7048B"/>
    <w:rsid w:val="00B73A67"/>
    <w:rsid w:val="00B73B54"/>
    <w:rsid w:val="00B75AC3"/>
    <w:rsid w:val="00B77901"/>
    <w:rsid w:val="00B80BF7"/>
    <w:rsid w:val="00B858B1"/>
    <w:rsid w:val="00B86B84"/>
    <w:rsid w:val="00B93180"/>
    <w:rsid w:val="00B93292"/>
    <w:rsid w:val="00B943BB"/>
    <w:rsid w:val="00B94679"/>
    <w:rsid w:val="00B94FC6"/>
    <w:rsid w:val="00B95C52"/>
    <w:rsid w:val="00B971DE"/>
    <w:rsid w:val="00BA2132"/>
    <w:rsid w:val="00BA22CC"/>
    <w:rsid w:val="00BA626B"/>
    <w:rsid w:val="00BB3DE8"/>
    <w:rsid w:val="00BB5076"/>
    <w:rsid w:val="00BB56DF"/>
    <w:rsid w:val="00BB623B"/>
    <w:rsid w:val="00BB6CD0"/>
    <w:rsid w:val="00BB78F5"/>
    <w:rsid w:val="00BC0BC8"/>
    <w:rsid w:val="00BC1A24"/>
    <w:rsid w:val="00BC55E0"/>
    <w:rsid w:val="00BC5834"/>
    <w:rsid w:val="00BC5A18"/>
    <w:rsid w:val="00BC5C02"/>
    <w:rsid w:val="00BC6045"/>
    <w:rsid w:val="00BD327C"/>
    <w:rsid w:val="00BD34FE"/>
    <w:rsid w:val="00BD46B7"/>
    <w:rsid w:val="00BD50BC"/>
    <w:rsid w:val="00BD56C6"/>
    <w:rsid w:val="00BD64CA"/>
    <w:rsid w:val="00BD7D86"/>
    <w:rsid w:val="00BE1125"/>
    <w:rsid w:val="00BE1EAF"/>
    <w:rsid w:val="00BE27AD"/>
    <w:rsid w:val="00BE2F09"/>
    <w:rsid w:val="00BE68D9"/>
    <w:rsid w:val="00BF0B86"/>
    <w:rsid w:val="00BF1099"/>
    <w:rsid w:val="00BF1659"/>
    <w:rsid w:val="00BF534F"/>
    <w:rsid w:val="00BF6A0F"/>
    <w:rsid w:val="00C00672"/>
    <w:rsid w:val="00C05B6E"/>
    <w:rsid w:val="00C067F8"/>
    <w:rsid w:val="00C068BC"/>
    <w:rsid w:val="00C07147"/>
    <w:rsid w:val="00C074EA"/>
    <w:rsid w:val="00C11A6A"/>
    <w:rsid w:val="00C12700"/>
    <w:rsid w:val="00C154A4"/>
    <w:rsid w:val="00C16B29"/>
    <w:rsid w:val="00C16C26"/>
    <w:rsid w:val="00C212C7"/>
    <w:rsid w:val="00C21E39"/>
    <w:rsid w:val="00C22653"/>
    <w:rsid w:val="00C238FC"/>
    <w:rsid w:val="00C244D9"/>
    <w:rsid w:val="00C24655"/>
    <w:rsid w:val="00C24F18"/>
    <w:rsid w:val="00C2727D"/>
    <w:rsid w:val="00C273B7"/>
    <w:rsid w:val="00C3067B"/>
    <w:rsid w:val="00C309FC"/>
    <w:rsid w:val="00C30B34"/>
    <w:rsid w:val="00C31473"/>
    <w:rsid w:val="00C32940"/>
    <w:rsid w:val="00C330B0"/>
    <w:rsid w:val="00C348E6"/>
    <w:rsid w:val="00C3597C"/>
    <w:rsid w:val="00C438FD"/>
    <w:rsid w:val="00C44F7E"/>
    <w:rsid w:val="00C45BC3"/>
    <w:rsid w:val="00C471ED"/>
    <w:rsid w:val="00C50DD2"/>
    <w:rsid w:val="00C51264"/>
    <w:rsid w:val="00C5211A"/>
    <w:rsid w:val="00C52936"/>
    <w:rsid w:val="00C53B63"/>
    <w:rsid w:val="00C546C9"/>
    <w:rsid w:val="00C5562C"/>
    <w:rsid w:val="00C56046"/>
    <w:rsid w:val="00C57A17"/>
    <w:rsid w:val="00C600E8"/>
    <w:rsid w:val="00C60508"/>
    <w:rsid w:val="00C60B55"/>
    <w:rsid w:val="00C664A1"/>
    <w:rsid w:val="00C70266"/>
    <w:rsid w:val="00C702D0"/>
    <w:rsid w:val="00C70330"/>
    <w:rsid w:val="00C7162B"/>
    <w:rsid w:val="00C718D2"/>
    <w:rsid w:val="00C719DD"/>
    <w:rsid w:val="00C734BE"/>
    <w:rsid w:val="00C73865"/>
    <w:rsid w:val="00C75367"/>
    <w:rsid w:val="00C75982"/>
    <w:rsid w:val="00C811A1"/>
    <w:rsid w:val="00C8175A"/>
    <w:rsid w:val="00C845BC"/>
    <w:rsid w:val="00C851D2"/>
    <w:rsid w:val="00C856EE"/>
    <w:rsid w:val="00C859CE"/>
    <w:rsid w:val="00C85D41"/>
    <w:rsid w:val="00C85D90"/>
    <w:rsid w:val="00C8610F"/>
    <w:rsid w:val="00C868F4"/>
    <w:rsid w:val="00C90503"/>
    <w:rsid w:val="00C9270D"/>
    <w:rsid w:val="00C930AC"/>
    <w:rsid w:val="00C965B0"/>
    <w:rsid w:val="00CA50C8"/>
    <w:rsid w:val="00CA61A1"/>
    <w:rsid w:val="00CB00B6"/>
    <w:rsid w:val="00CB10A6"/>
    <w:rsid w:val="00CB44F0"/>
    <w:rsid w:val="00CC1474"/>
    <w:rsid w:val="00CC1627"/>
    <w:rsid w:val="00CC1947"/>
    <w:rsid w:val="00CC1C57"/>
    <w:rsid w:val="00CC645D"/>
    <w:rsid w:val="00CC651E"/>
    <w:rsid w:val="00CC65B1"/>
    <w:rsid w:val="00CD18CE"/>
    <w:rsid w:val="00CD2F83"/>
    <w:rsid w:val="00CD7B5F"/>
    <w:rsid w:val="00CE4D4E"/>
    <w:rsid w:val="00CE4E07"/>
    <w:rsid w:val="00CE4E8D"/>
    <w:rsid w:val="00CE6544"/>
    <w:rsid w:val="00CE6E15"/>
    <w:rsid w:val="00CF075C"/>
    <w:rsid w:val="00CF140A"/>
    <w:rsid w:val="00CF16C9"/>
    <w:rsid w:val="00CF2C1B"/>
    <w:rsid w:val="00CF47B9"/>
    <w:rsid w:val="00D01F0F"/>
    <w:rsid w:val="00D041AC"/>
    <w:rsid w:val="00D059DB"/>
    <w:rsid w:val="00D10009"/>
    <w:rsid w:val="00D100F6"/>
    <w:rsid w:val="00D103E5"/>
    <w:rsid w:val="00D14D27"/>
    <w:rsid w:val="00D17958"/>
    <w:rsid w:val="00D218F2"/>
    <w:rsid w:val="00D2342D"/>
    <w:rsid w:val="00D23727"/>
    <w:rsid w:val="00D23A54"/>
    <w:rsid w:val="00D25623"/>
    <w:rsid w:val="00D260B5"/>
    <w:rsid w:val="00D305B1"/>
    <w:rsid w:val="00D30605"/>
    <w:rsid w:val="00D31448"/>
    <w:rsid w:val="00D31927"/>
    <w:rsid w:val="00D31E8D"/>
    <w:rsid w:val="00D32B99"/>
    <w:rsid w:val="00D32E6A"/>
    <w:rsid w:val="00D4249F"/>
    <w:rsid w:val="00D474DD"/>
    <w:rsid w:val="00D47A6F"/>
    <w:rsid w:val="00D500FE"/>
    <w:rsid w:val="00D51C4E"/>
    <w:rsid w:val="00D57770"/>
    <w:rsid w:val="00D57AD1"/>
    <w:rsid w:val="00D57E92"/>
    <w:rsid w:val="00D6023D"/>
    <w:rsid w:val="00D644BB"/>
    <w:rsid w:val="00D6451D"/>
    <w:rsid w:val="00D70AEA"/>
    <w:rsid w:val="00D73603"/>
    <w:rsid w:val="00D74308"/>
    <w:rsid w:val="00D75030"/>
    <w:rsid w:val="00D76BEB"/>
    <w:rsid w:val="00D77672"/>
    <w:rsid w:val="00D82BDD"/>
    <w:rsid w:val="00D83C70"/>
    <w:rsid w:val="00D83E86"/>
    <w:rsid w:val="00D8437E"/>
    <w:rsid w:val="00D8453D"/>
    <w:rsid w:val="00D85A56"/>
    <w:rsid w:val="00D90865"/>
    <w:rsid w:val="00D90EE5"/>
    <w:rsid w:val="00D913BF"/>
    <w:rsid w:val="00D922A1"/>
    <w:rsid w:val="00D92697"/>
    <w:rsid w:val="00D92E4F"/>
    <w:rsid w:val="00D9414F"/>
    <w:rsid w:val="00D9551A"/>
    <w:rsid w:val="00D9698F"/>
    <w:rsid w:val="00D9700B"/>
    <w:rsid w:val="00D97143"/>
    <w:rsid w:val="00D97BB1"/>
    <w:rsid w:val="00DA0145"/>
    <w:rsid w:val="00DA0E16"/>
    <w:rsid w:val="00DA251C"/>
    <w:rsid w:val="00DA3B28"/>
    <w:rsid w:val="00DA45D1"/>
    <w:rsid w:val="00DA5361"/>
    <w:rsid w:val="00DA5BEA"/>
    <w:rsid w:val="00DA6D72"/>
    <w:rsid w:val="00DA6DEA"/>
    <w:rsid w:val="00DB1AAC"/>
    <w:rsid w:val="00DB2C66"/>
    <w:rsid w:val="00DB3306"/>
    <w:rsid w:val="00DB3CD5"/>
    <w:rsid w:val="00DB4C84"/>
    <w:rsid w:val="00DB6510"/>
    <w:rsid w:val="00DB6C26"/>
    <w:rsid w:val="00DB6CFA"/>
    <w:rsid w:val="00DC0858"/>
    <w:rsid w:val="00DC0BE7"/>
    <w:rsid w:val="00DC6702"/>
    <w:rsid w:val="00DD0C98"/>
    <w:rsid w:val="00DD105B"/>
    <w:rsid w:val="00DD1D63"/>
    <w:rsid w:val="00DD2CAA"/>
    <w:rsid w:val="00DD32EB"/>
    <w:rsid w:val="00DD3CE9"/>
    <w:rsid w:val="00DD5DC0"/>
    <w:rsid w:val="00DE0118"/>
    <w:rsid w:val="00DE0D95"/>
    <w:rsid w:val="00DE29A6"/>
    <w:rsid w:val="00DF0A0B"/>
    <w:rsid w:val="00DF3E58"/>
    <w:rsid w:val="00DF420C"/>
    <w:rsid w:val="00DF5191"/>
    <w:rsid w:val="00DF5A61"/>
    <w:rsid w:val="00DF71D0"/>
    <w:rsid w:val="00E005B5"/>
    <w:rsid w:val="00E01A99"/>
    <w:rsid w:val="00E02DA5"/>
    <w:rsid w:val="00E03333"/>
    <w:rsid w:val="00E03CB4"/>
    <w:rsid w:val="00E05C66"/>
    <w:rsid w:val="00E07DB2"/>
    <w:rsid w:val="00E10208"/>
    <w:rsid w:val="00E12948"/>
    <w:rsid w:val="00E1460F"/>
    <w:rsid w:val="00E14A8A"/>
    <w:rsid w:val="00E17A8F"/>
    <w:rsid w:val="00E2302E"/>
    <w:rsid w:val="00E24102"/>
    <w:rsid w:val="00E24BF1"/>
    <w:rsid w:val="00E279C3"/>
    <w:rsid w:val="00E27F16"/>
    <w:rsid w:val="00E32641"/>
    <w:rsid w:val="00E34177"/>
    <w:rsid w:val="00E3511C"/>
    <w:rsid w:val="00E3691A"/>
    <w:rsid w:val="00E37935"/>
    <w:rsid w:val="00E4011C"/>
    <w:rsid w:val="00E4228B"/>
    <w:rsid w:val="00E42D8B"/>
    <w:rsid w:val="00E44DC0"/>
    <w:rsid w:val="00E45908"/>
    <w:rsid w:val="00E47924"/>
    <w:rsid w:val="00E511DB"/>
    <w:rsid w:val="00E5204C"/>
    <w:rsid w:val="00E5312F"/>
    <w:rsid w:val="00E56B72"/>
    <w:rsid w:val="00E57E6B"/>
    <w:rsid w:val="00E612C1"/>
    <w:rsid w:val="00E62388"/>
    <w:rsid w:val="00E627B6"/>
    <w:rsid w:val="00E627CC"/>
    <w:rsid w:val="00E62C20"/>
    <w:rsid w:val="00E63AFB"/>
    <w:rsid w:val="00E64A01"/>
    <w:rsid w:val="00E670C6"/>
    <w:rsid w:val="00E6781C"/>
    <w:rsid w:val="00E70066"/>
    <w:rsid w:val="00E72E72"/>
    <w:rsid w:val="00E7391F"/>
    <w:rsid w:val="00E73A8C"/>
    <w:rsid w:val="00E74613"/>
    <w:rsid w:val="00E7495A"/>
    <w:rsid w:val="00E75984"/>
    <w:rsid w:val="00E75A12"/>
    <w:rsid w:val="00E75DD8"/>
    <w:rsid w:val="00E7677F"/>
    <w:rsid w:val="00E76B2C"/>
    <w:rsid w:val="00E7757C"/>
    <w:rsid w:val="00E80BC1"/>
    <w:rsid w:val="00E80E03"/>
    <w:rsid w:val="00E81917"/>
    <w:rsid w:val="00E82FC1"/>
    <w:rsid w:val="00E84FDE"/>
    <w:rsid w:val="00E8578A"/>
    <w:rsid w:val="00E86498"/>
    <w:rsid w:val="00E865A5"/>
    <w:rsid w:val="00E86710"/>
    <w:rsid w:val="00E917DD"/>
    <w:rsid w:val="00E92727"/>
    <w:rsid w:val="00E9566C"/>
    <w:rsid w:val="00E95A98"/>
    <w:rsid w:val="00E960C2"/>
    <w:rsid w:val="00E96B5E"/>
    <w:rsid w:val="00E97ADE"/>
    <w:rsid w:val="00E97C88"/>
    <w:rsid w:val="00E97E4D"/>
    <w:rsid w:val="00EA192F"/>
    <w:rsid w:val="00EA3F86"/>
    <w:rsid w:val="00EA57B6"/>
    <w:rsid w:val="00EA613E"/>
    <w:rsid w:val="00EB1358"/>
    <w:rsid w:val="00EB1C58"/>
    <w:rsid w:val="00EB5045"/>
    <w:rsid w:val="00EB6451"/>
    <w:rsid w:val="00EB7C36"/>
    <w:rsid w:val="00EC19AC"/>
    <w:rsid w:val="00EC5ACA"/>
    <w:rsid w:val="00EC5EDC"/>
    <w:rsid w:val="00ED0845"/>
    <w:rsid w:val="00ED0912"/>
    <w:rsid w:val="00ED2A97"/>
    <w:rsid w:val="00ED2E4A"/>
    <w:rsid w:val="00ED3A49"/>
    <w:rsid w:val="00ED602C"/>
    <w:rsid w:val="00EE0D26"/>
    <w:rsid w:val="00EE38E6"/>
    <w:rsid w:val="00EE4BAE"/>
    <w:rsid w:val="00EE5502"/>
    <w:rsid w:val="00EE69BE"/>
    <w:rsid w:val="00EE7467"/>
    <w:rsid w:val="00EE74AD"/>
    <w:rsid w:val="00EE7E5D"/>
    <w:rsid w:val="00EF0E41"/>
    <w:rsid w:val="00EF2ACF"/>
    <w:rsid w:val="00EF3452"/>
    <w:rsid w:val="00EF52D3"/>
    <w:rsid w:val="00EF5F67"/>
    <w:rsid w:val="00EF64D9"/>
    <w:rsid w:val="00F027A8"/>
    <w:rsid w:val="00F03ADE"/>
    <w:rsid w:val="00F04AB2"/>
    <w:rsid w:val="00F10F84"/>
    <w:rsid w:val="00F131B9"/>
    <w:rsid w:val="00F13C2D"/>
    <w:rsid w:val="00F210F6"/>
    <w:rsid w:val="00F21763"/>
    <w:rsid w:val="00F235F2"/>
    <w:rsid w:val="00F25C1E"/>
    <w:rsid w:val="00F266A1"/>
    <w:rsid w:val="00F278F8"/>
    <w:rsid w:val="00F30942"/>
    <w:rsid w:val="00F329D2"/>
    <w:rsid w:val="00F35FC9"/>
    <w:rsid w:val="00F3684D"/>
    <w:rsid w:val="00F36F20"/>
    <w:rsid w:val="00F41AC7"/>
    <w:rsid w:val="00F445E2"/>
    <w:rsid w:val="00F46668"/>
    <w:rsid w:val="00F474F2"/>
    <w:rsid w:val="00F47554"/>
    <w:rsid w:val="00F47D8C"/>
    <w:rsid w:val="00F50A0F"/>
    <w:rsid w:val="00F5238A"/>
    <w:rsid w:val="00F533B5"/>
    <w:rsid w:val="00F53C10"/>
    <w:rsid w:val="00F549A8"/>
    <w:rsid w:val="00F549DA"/>
    <w:rsid w:val="00F554E4"/>
    <w:rsid w:val="00F56809"/>
    <w:rsid w:val="00F576F9"/>
    <w:rsid w:val="00F57CD3"/>
    <w:rsid w:val="00F62058"/>
    <w:rsid w:val="00F64E90"/>
    <w:rsid w:val="00F65845"/>
    <w:rsid w:val="00F6594F"/>
    <w:rsid w:val="00F65A85"/>
    <w:rsid w:val="00F67552"/>
    <w:rsid w:val="00F70751"/>
    <w:rsid w:val="00F74706"/>
    <w:rsid w:val="00F7530F"/>
    <w:rsid w:val="00F764C9"/>
    <w:rsid w:val="00F77C7F"/>
    <w:rsid w:val="00F812E9"/>
    <w:rsid w:val="00F84764"/>
    <w:rsid w:val="00F86EBF"/>
    <w:rsid w:val="00F9116D"/>
    <w:rsid w:val="00F92ABC"/>
    <w:rsid w:val="00F9490C"/>
    <w:rsid w:val="00F95348"/>
    <w:rsid w:val="00F971AD"/>
    <w:rsid w:val="00FA2F43"/>
    <w:rsid w:val="00FA5124"/>
    <w:rsid w:val="00FA6F94"/>
    <w:rsid w:val="00FA7C05"/>
    <w:rsid w:val="00FB0C31"/>
    <w:rsid w:val="00FB5D09"/>
    <w:rsid w:val="00FB6CC1"/>
    <w:rsid w:val="00FC08D5"/>
    <w:rsid w:val="00FC22F0"/>
    <w:rsid w:val="00FC2E7E"/>
    <w:rsid w:val="00FC31BE"/>
    <w:rsid w:val="00FC5307"/>
    <w:rsid w:val="00FC61AF"/>
    <w:rsid w:val="00FC7704"/>
    <w:rsid w:val="00FD2617"/>
    <w:rsid w:val="00FD273F"/>
    <w:rsid w:val="00FD3055"/>
    <w:rsid w:val="00FD56F5"/>
    <w:rsid w:val="00FE0333"/>
    <w:rsid w:val="00FE09EC"/>
    <w:rsid w:val="00FE3822"/>
    <w:rsid w:val="00FE7D27"/>
    <w:rsid w:val="00FF0248"/>
    <w:rsid w:val="00FF0C90"/>
    <w:rsid w:val="00FF1873"/>
    <w:rsid w:val="00FF3008"/>
    <w:rsid w:val="00FF34C4"/>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2937"/>
  <w15:chartTrackingRefBased/>
  <w15:docId w15:val="{12BFE6A8-9D6B-40B5-A602-5732895E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2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330B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qFormat/>
    <w:rsid w:val="00C330B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F3A"/>
    <w:rPr>
      <w:color w:val="0000FF"/>
      <w:u w:val="single"/>
    </w:rPr>
  </w:style>
  <w:style w:type="character" w:customStyle="1" w:styleId="3l3x">
    <w:name w:val="_3l3x"/>
    <w:basedOn w:val="DefaultParagraphFont"/>
    <w:rsid w:val="002E0F3A"/>
  </w:style>
  <w:style w:type="paragraph" w:styleId="ListParagraph">
    <w:name w:val="List Paragraph"/>
    <w:basedOn w:val="Normal"/>
    <w:uiPriority w:val="34"/>
    <w:qFormat/>
    <w:rsid w:val="002E0F3A"/>
    <w:pPr>
      <w:ind w:left="720"/>
      <w:contextualSpacing/>
    </w:pPr>
  </w:style>
  <w:style w:type="paragraph" w:styleId="FootnoteText">
    <w:name w:val="footnote text"/>
    <w:basedOn w:val="Normal"/>
    <w:link w:val="FootnoteTextChar"/>
    <w:semiHidden/>
    <w:unhideWhenUsed/>
    <w:rsid w:val="00D31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448"/>
    <w:rPr>
      <w:sz w:val="20"/>
      <w:szCs w:val="20"/>
    </w:rPr>
  </w:style>
  <w:style w:type="character" w:styleId="FootnoteReference">
    <w:name w:val="footnote reference"/>
    <w:basedOn w:val="DefaultParagraphFont"/>
    <w:semiHidden/>
    <w:unhideWhenUsed/>
    <w:rsid w:val="00D31448"/>
    <w:rPr>
      <w:vertAlign w:val="superscript"/>
    </w:rPr>
  </w:style>
  <w:style w:type="table" w:styleId="TableGrid">
    <w:name w:val="Table Grid"/>
    <w:basedOn w:val="TableNormal"/>
    <w:uiPriority w:val="39"/>
    <w:rsid w:val="00E1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8D9"/>
  </w:style>
  <w:style w:type="paragraph" w:styleId="Footer">
    <w:name w:val="footer"/>
    <w:basedOn w:val="Normal"/>
    <w:link w:val="FooterChar"/>
    <w:uiPriority w:val="99"/>
    <w:unhideWhenUsed/>
    <w:rsid w:val="0049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8D9"/>
  </w:style>
  <w:style w:type="character" w:styleId="Strong">
    <w:name w:val="Strong"/>
    <w:basedOn w:val="DefaultParagraphFont"/>
    <w:uiPriority w:val="22"/>
    <w:qFormat/>
    <w:rsid w:val="00FC2E7E"/>
    <w:rPr>
      <w:b/>
      <w:bCs/>
    </w:rPr>
  </w:style>
  <w:style w:type="paragraph" w:styleId="HTMLPreformatted">
    <w:name w:val="HTML Preformatted"/>
    <w:basedOn w:val="Normal"/>
    <w:link w:val="HTMLPreformattedChar"/>
    <w:uiPriority w:val="99"/>
    <w:unhideWhenUsed/>
    <w:rsid w:val="00EF0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F0E41"/>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666FD0"/>
    <w:rPr>
      <w:color w:val="954F72" w:themeColor="followedHyperlink"/>
      <w:u w:val="single"/>
    </w:rPr>
  </w:style>
  <w:style w:type="character" w:customStyle="1" w:styleId="Heading2Char">
    <w:name w:val="Heading 2 Char"/>
    <w:basedOn w:val="DefaultParagraphFont"/>
    <w:link w:val="Heading2"/>
    <w:uiPriority w:val="9"/>
    <w:rsid w:val="00C330B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C330B0"/>
    <w:rPr>
      <w:rFonts w:ascii="Times New Roman" w:eastAsia="Times New Roman" w:hAnsi="Times New Roman" w:cs="Times New Roman"/>
      <w:b/>
      <w:bCs/>
      <w:sz w:val="27"/>
      <w:szCs w:val="27"/>
      <w:lang w:val="en-US"/>
    </w:rPr>
  </w:style>
  <w:style w:type="paragraph" w:styleId="NormalWeb">
    <w:name w:val="Normal (Web)"/>
    <w:basedOn w:val="Normal"/>
    <w:uiPriority w:val="99"/>
    <w:rsid w:val="00C330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line">
    <w:name w:val="headline"/>
    <w:basedOn w:val="DefaultParagraphFont"/>
    <w:rsid w:val="00C330B0"/>
  </w:style>
  <w:style w:type="character" w:customStyle="1" w:styleId="Heading1Char">
    <w:name w:val="Heading 1 Char"/>
    <w:basedOn w:val="DefaultParagraphFont"/>
    <w:link w:val="Heading1"/>
    <w:uiPriority w:val="9"/>
    <w:rsid w:val="00F812E9"/>
    <w:rPr>
      <w:rFonts w:asciiTheme="majorHAnsi" w:eastAsiaTheme="majorEastAsia" w:hAnsiTheme="majorHAnsi" w:cstheme="majorBidi"/>
      <w:color w:val="2E74B5" w:themeColor="accent1" w:themeShade="BF"/>
      <w:sz w:val="32"/>
      <w:szCs w:val="32"/>
    </w:rPr>
  </w:style>
  <w:style w:type="character" w:customStyle="1" w:styleId="addmd">
    <w:name w:val="addmd"/>
    <w:basedOn w:val="DefaultParagraphFont"/>
    <w:rsid w:val="00F812E9"/>
  </w:style>
  <w:style w:type="character" w:customStyle="1" w:styleId="sden">
    <w:name w:val="s_den"/>
    <w:basedOn w:val="DefaultParagraphFont"/>
    <w:rsid w:val="00520E50"/>
  </w:style>
  <w:style w:type="character" w:customStyle="1" w:styleId="spar">
    <w:name w:val="s_par"/>
    <w:basedOn w:val="DefaultParagraphFont"/>
    <w:rsid w:val="00520E50"/>
  </w:style>
  <w:style w:type="character" w:customStyle="1" w:styleId="semtttl">
    <w:name w:val="s_emt_ttl"/>
    <w:basedOn w:val="DefaultParagraphFont"/>
    <w:rsid w:val="00B5169A"/>
  </w:style>
  <w:style w:type="character" w:customStyle="1" w:styleId="semtbdy">
    <w:name w:val="s_emt_bdy"/>
    <w:basedOn w:val="DefaultParagraphFont"/>
    <w:rsid w:val="00B5169A"/>
  </w:style>
  <w:style w:type="character" w:customStyle="1" w:styleId="spubttl">
    <w:name w:val="s_pub_ttl"/>
    <w:basedOn w:val="DefaultParagraphFont"/>
    <w:rsid w:val="00B5169A"/>
  </w:style>
  <w:style w:type="character" w:customStyle="1" w:styleId="spubbdy">
    <w:name w:val="s_pub_bdy"/>
    <w:basedOn w:val="DefaultParagraphFont"/>
    <w:rsid w:val="00B5169A"/>
  </w:style>
  <w:style w:type="character" w:styleId="HTMLCite">
    <w:name w:val="HTML Cite"/>
    <w:basedOn w:val="DefaultParagraphFont"/>
    <w:uiPriority w:val="99"/>
    <w:semiHidden/>
    <w:unhideWhenUsed/>
    <w:rsid w:val="001F3470"/>
    <w:rPr>
      <w:i/>
      <w:iCs/>
    </w:rPr>
  </w:style>
  <w:style w:type="character" w:customStyle="1" w:styleId="name">
    <w:name w:val="name"/>
    <w:basedOn w:val="DefaultParagraphFont"/>
    <w:rsid w:val="000F143E"/>
  </w:style>
  <w:style w:type="character" w:customStyle="1" w:styleId="surname">
    <w:name w:val="surname"/>
    <w:basedOn w:val="DefaultParagraphFont"/>
    <w:rsid w:val="000F143E"/>
  </w:style>
  <w:style w:type="character" w:customStyle="1" w:styleId="given-names">
    <w:name w:val="given-names"/>
    <w:basedOn w:val="DefaultParagraphFont"/>
    <w:rsid w:val="000F143E"/>
  </w:style>
  <w:style w:type="character" w:customStyle="1" w:styleId="year">
    <w:name w:val="year"/>
    <w:basedOn w:val="DefaultParagraphFont"/>
    <w:rsid w:val="000F143E"/>
  </w:style>
  <w:style w:type="character" w:customStyle="1" w:styleId="source">
    <w:name w:val="source"/>
    <w:basedOn w:val="DefaultParagraphFont"/>
    <w:rsid w:val="000F143E"/>
  </w:style>
  <w:style w:type="character" w:customStyle="1" w:styleId="conf-name">
    <w:name w:val="conf-name"/>
    <w:basedOn w:val="DefaultParagraphFont"/>
    <w:rsid w:val="000F143E"/>
  </w:style>
  <w:style w:type="character" w:customStyle="1" w:styleId="article-title">
    <w:name w:val="article-title"/>
    <w:basedOn w:val="DefaultParagraphFont"/>
    <w:rsid w:val="00F971AD"/>
  </w:style>
  <w:style w:type="character" w:customStyle="1" w:styleId="volume">
    <w:name w:val="volume"/>
    <w:basedOn w:val="DefaultParagraphFont"/>
    <w:rsid w:val="00F971AD"/>
  </w:style>
  <w:style w:type="character" w:customStyle="1" w:styleId="fpage">
    <w:name w:val="fpage"/>
    <w:basedOn w:val="DefaultParagraphFont"/>
    <w:rsid w:val="00F971AD"/>
  </w:style>
  <w:style w:type="character" w:customStyle="1" w:styleId="lpage">
    <w:name w:val="lpage"/>
    <w:basedOn w:val="DefaultParagraphFont"/>
    <w:rsid w:val="00F971AD"/>
  </w:style>
  <w:style w:type="character" w:customStyle="1" w:styleId="Title1">
    <w:name w:val="Title1"/>
    <w:basedOn w:val="DefaultParagraphFont"/>
    <w:rsid w:val="00630155"/>
  </w:style>
  <w:style w:type="character" w:customStyle="1" w:styleId="Subtitle1">
    <w:name w:val="Subtitle1"/>
    <w:basedOn w:val="DefaultParagraphFont"/>
    <w:rsid w:val="00630155"/>
  </w:style>
  <w:style w:type="paragraph" w:styleId="EndnoteText">
    <w:name w:val="endnote text"/>
    <w:basedOn w:val="Normal"/>
    <w:link w:val="EndnoteTextChar"/>
    <w:uiPriority w:val="99"/>
    <w:semiHidden/>
    <w:unhideWhenUsed/>
    <w:rsid w:val="002472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22B"/>
    <w:rPr>
      <w:sz w:val="20"/>
      <w:szCs w:val="20"/>
    </w:rPr>
  </w:style>
  <w:style w:type="character" w:styleId="EndnoteReference">
    <w:name w:val="endnote reference"/>
    <w:basedOn w:val="DefaultParagraphFont"/>
    <w:uiPriority w:val="99"/>
    <w:semiHidden/>
    <w:unhideWhenUsed/>
    <w:rsid w:val="00247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501">
      <w:bodyDiv w:val="1"/>
      <w:marLeft w:val="0"/>
      <w:marRight w:val="0"/>
      <w:marTop w:val="0"/>
      <w:marBottom w:val="0"/>
      <w:divBdr>
        <w:top w:val="none" w:sz="0" w:space="0" w:color="auto"/>
        <w:left w:val="none" w:sz="0" w:space="0" w:color="auto"/>
        <w:bottom w:val="none" w:sz="0" w:space="0" w:color="auto"/>
        <w:right w:val="none" w:sz="0" w:space="0" w:color="auto"/>
      </w:divBdr>
    </w:div>
    <w:div w:id="77098785">
      <w:bodyDiv w:val="1"/>
      <w:marLeft w:val="0"/>
      <w:marRight w:val="0"/>
      <w:marTop w:val="0"/>
      <w:marBottom w:val="0"/>
      <w:divBdr>
        <w:top w:val="none" w:sz="0" w:space="0" w:color="auto"/>
        <w:left w:val="none" w:sz="0" w:space="0" w:color="auto"/>
        <w:bottom w:val="none" w:sz="0" w:space="0" w:color="auto"/>
        <w:right w:val="none" w:sz="0" w:space="0" w:color="auto"/>
      </w:divBdr>
    </w:div>
    <w:div w:id="356975077">
      <w:bodyDiv w:val="1"/>
      <w:marLeft w:val="0"/>
      <w:marRight w:val="0"/>
      <w:marTop w:val="0"/>
      <w:marBottom w:val="0"/>
      <w:divBdr>
        <w:top w:val="none" w:sz="0" w:space="0" w:color="auto"/>
        <w:left w:val="none" w:sz="0" w:space="0" w:color="auto"/>
        <w:bottom w:val="none" w:sz="0" w:space="0" w:color="auto"/>
        <w:right w:val="none" w:sz="0" w:space="0" w:color="auto"/>
      </w:divBdr>
      <w:divsChild>
        <w:div w:id="959149435">
          <w:marLeft w:val="0"/>
          <w:marRight w:val="0"/>
          <w:marTop w:val="0"/>
          <w:marBottom w:val="120"/>
          <w:divBdr>
            <w:top w:val="none" w:sz="0" w:space="0" w:color="auto"/>
            <w:left w:val="none" w:sz="0" w:space="0" w:color="auto"/>
            <w:bottom w:val="none" w:sz="0" w:space="0" w:color="auto"/>
            <w:right w:val="none" w:sz="0" w:space="0" w:color="auto"/>
          </w:divBdr>
          <w:divsChild>
            <w:div w:id="1964382541">
              <w:marLeft w:val="0"/>
              <w:marRight w:val="0"/>
              <w:marTop w:val="0"/>
              <w:marBottom w:val="0"/>
              <w:divBdr>
                <w:top w:val="none" w:sz="0" w:space="0" w:color="auto"/>
                <w:left w:val="none" w:sz="0" w:space="0" w:color="auto"/>
                <w:bottom w:val="none" w:sz="0" w:space="0" w:color="auto"/>
                <w:right w:val="none" w:sz="0" w:space="0" w:color="auto"/>
              </w:divBdr>
              <w:divsChild>
                <w:div w:id="2898014">
                  <w:marLeft w:val="0"/>
                  <w:marRight w:val="0"/>
                  <w:marTop w:val="0"/>
                  <w:marBottom w:val="0"/>
                  <w:divBdr>
                    <w:top w:val="none" w:sz="0" w:space="0" w:color="auto"/>
                    <w:left w:val="none" w:sz="0" w:space="0" w:color="auto"/>
                    <w:bottom w:val="none" w:sz="0" w:space="0" w:color="auto"/>
                    <w:right w:val="none" w:sz="0" w:space="0" w:color="auto"/>
                  </w:divBdr>
                  <w:divsChild>
                    <w:div w:id="127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79230">
      <w:bodyDiv w:val="1"/>
      <w:marLeft w:val="0"/>
      <w:marRight w:val="0"/>
      <w:marTop w:val="0"/>
      <w:marBottom w:val="0"/>
      <w:divBdr>
        <w:top w:val="none" w:sz="0" w:space="0" w:color="auto"/>
        <w:left w:val="none" w:sz="0" w:space="0" w:color="auto"/>
        <w:bottom w:val="none" w:sz="0" w:space="0" w:color="auto"/>
        <w:right w:val="none" w:sz="0" w:space="0" w:color="auto"/>
      </w:divBdr>
    </w:div>
    <w:div w:id="817528073">
      <w:bodyDiv w:val="1"/>
      <w:marLeft w:val="0"/>
      <w:marRight w:val="0"/>
      <w:marTop w:val="0"/>
      <w:marBottom w:val="0"/>
      <w:divBdr>
        <w:top w:val="none" w:sz="0" w:space="0" w:color="auto"/>
        <w:left w:val="none" w:sz="0" w:space="0" w:color="auto"/>
        <w:bottom w:val="none" w:sz="0" w:space="0" w:color="auto"/>
        <w:right w:val="none" w:sz="0" w:space="0" w:color="auto"/>
      </w:divBdr>
    </w:div>
    <w:div w:id="966550281">
      <w:bodyDiv w:val="1"/>
      <w:marLeft w:val="0"/>
      <w:marRight w:val="0"/>
      <w:marTop w:val="0"/>
      <w:marBottom w:val="0"/>
      <w:divBdr>
        <w:top w:val="none" w:sz="0" w:space="0" w:color="auto"/>
        <w:left w:val="none" w:sz="0" w:space="0" w:color="auto"/>
        <w:bottom w:val="none" w:sz="0" w:space="0" w:color="auto"/>
        <w:right w:val="none" w:sz="0" w:space="0" w:color="auto"/>
      </w:divBdr>
    </w:div>
    <w:div w:id="1028071056">
      <w:bodyDiv w:val="1"/>
      <w:marLeft w:val="0"/>
      <w:marRight w:val="0"/>
      <w:marTop w:val="0"/>
      <w:marBottom w:val="0"/>
      <w:divBdr>
        <w:top w:val="none" w:sz="0" w:space="0" w:color="auto"/>
        <w:left w:val="none" w:sz="0" w:space="0" w:color="auto"/>
        <w:bottom w:val="none" w:sz="0" w:space="0" w:color="auto"/>
        <w:right w:val="none" w:sz="0" w:space="0" w:color="auto"/>
      </w:divBdr>
    </w:div>
    <w:div w:id="1165898437">
      <w:bodyDiv w:val="1"/>
      <w:marLeft w:val="0"/>
      <w:marRight w:val="0"/>
      <w:marTop w:val="0"/>
      <w:marBottom w:val="0"/>
      <w:divBdr>
        <w:top w:val="none" w:sz="0" w:space="0" w:color="auto"/>
        <w:left w:val="none" w:sz="0" w:space="0" w:color="auto"/>
        <w:bottom w:val="none" w:sz="0" w:space="0" w:color="auto"/>
        <w:right w:val="none" w:sz="0" w:space="0" w:color="auto"/>
      </w:divBdr>
    </w:div>
    <w:div w:id="1266376867">
      <w:bodyDiv w:val="1"/>
      <w:marLeft w:val="0"/>
      <w:marRight w:val="0"/>
      <w:marTop w:val="0"/>
      <w:marBottom w:val="0"/>
      <w:divBdr>
        <w:top w:val="none" w:sz="0" w:space="0" w:color="auto"/>
        <w:left w:val="none" w:sz="0" w:space="0" w:color="auto"/>
        <w:bottom w:val="none" w:sz="0" w:space="0" w:color="auto"/>
        <w:right w:val="none" w:sz="0" w:space="0" w:color="auto"/>
      </w:divBdr>
    </w:div>
    <w:div w:id="1283269736">
      <w:bodyDiv w:val="1"/>
      <w:marLeft w:val="0"/>
      <w:marRight w:val="0"/>
      <w:marTop w:val="0"/>
      <w:marBottom w:val="0"/>
      <w:divBdr>
        <w:top w:val="none" w:sz="0" w:space="0" w:color="auto"/>
        <w:left w:val="none" w:sz="0" w:space="0" w:color="auto"/>
        <w:bottom w:val="none" w:sz="0" w:space="0" w:color="auto"/>
        <w:right w:val="none" w:sz="0" w:space="0" w:color="auto"/>
      </w:divBdr>
    </w:div>
    <w:div w:id="1307513466">
      <w:bodyDiv w:val="1"/>
      <w:marLeft w:val="0"/>
      <w:marRight w:val="0"/>
      <w:marTop w:val="0"/>
      <w:marBottom w:val="0"/>
      <w:divBdr>
        <w:top w:val="none" w:sz="0" w:space="0" w:color="auto"/>
        <w:left w:val="none" w:sz="0" w:space="0" w:color="auto"/>
        <w:bottom w:val="none" w:sz="0" w:space="0" w:color="auto"/>
        <w:right w:val="none" w:sz="0" w:space="0" w:color="auto"/>
      </w:divBdr>
    </w:div>
    <w:div w:id="1502161063">
      <w:bodyDiv w:val="1"/>
      <w:marLeft w:val="0"/>
      <w:marRight w:val="0"/>
      <w:marTop w:val="0"/>
      <w:marBottom w:val="0"/>
      <w:divBdr>
        <w:top w:val="none" w:sz="0" w:space="0" w:color="auto"/>
        <w:left w:val="none" w:sz="0" w:space="0" w:color="auto"/>
        <w:bottom w:val="none" w:sz="0" w:space="0" w:color="auto"/>
        <w:right w:val="none" w:sz="0" w:space="0" w:color="auto"/>
      </w:divBdr>
      <w:divsChild>
        <w:div w:id="838276777">
          <w:marLeft w:val="0"/>
          <w:marRight w:val="0"/>
          <w:marTop w:val="0"/>
          <w:marBottom w:val="0"/>
          <w:divBdr>
            <w:top w:val="none" w:sz="0" w:space="0" w:color="auto"/>
            <w:left w:val="none" w:sz="0" w:space="0" w:color="auto"/>
            <w:bottom w:val="none" w:sz="0" w:space="0" w:color="auto"/>
            <w:right w:val="none" w:sz="0" w:space="0" w:color="auto"/>
          </w:divBdr>
        </w:div>
        <w:div w:id="1859196911">
          <w:marLeft w:val="0"/>
          <w:marRight w:val="0"/>
          <w:marTop w:val="0"/>
          <w:marBottom w:val="0"/>
          <w:divBdr>
            <w:top w:val="none" w:sz="0" w:space="0" w:color="auto"/>
            <w:left w:val="none" w:sz="0" w:space="0" w:color="auto"/>
            <w:bottom w:val="none" w:sz="0" w:space="0" w:color="auto"/>
            <w:right w:val="none" w:sz="0" w:space="0" w:color="auto"/>
          </w:divBdr>
        </w:div>
        <w:div w:id="1061094042">
          <w:marLeft w:val="0"/>
          <w:marRight w:val="0"/>
          <w:marTop w:val="0"/>
          <w:marBottom w:val="0"/>
          <w:divBdr>
            <w:top w:val="none" w:sz="0" w:space="0" w:color="auto"/>
            <w:left w:val="none" w:sz="0" w:space="0" w:color="auto"/>
            <w:bottom w:val="none" w:sz="0" w:space="0" w:color="auto"/>
            <w:right w:val="none" w:sz="0" w:space="0" w:color="auto"/>
          </w:divBdr>
        </w:div>
      </w:divsChild>
    </w:div>
    <w:div w:id="1594050789">
      <w:bodyDiv w:val="1"/>
      <w:marLeft w:val="0"/>
      <w:marRight w:val="0"/>
      <w:marTop w:val="0"/>
      <w:marBottom w:val="0"/>
      <w:divBdr>
        <w:top w:val="none" w:sz="0" w:space="0" w:color="auto"/>
        <w:left w:val="none" w:sz="0" w:space="0" w:color="auto"/>
        <w:bottom w:val="none" w:sz="0" w:space="0" w:color="auto"/>
        <w:right w:val="none" w:sz="0" w:space="0" w:color="auto"/>
      </w:divBdr>
    </w:div>
    <w:div w:id="1669290818">
      <w:bodyDiv w:val="1"/>
      <w:marLeft w:val="0"/>
      <w:marRight w:val="0"/>
      <w:marTop w:val="0"/>
      <w:marBottom w:val="0"/>
      <w:divBdr>
        <w:top w:val="none" w:sz="0" w:space="0" w:color="auto"/>
        <w:left w:val="none" w:sz="0" w:space="0" w:color="auto"/>
        <w:bottom w:val="none" w:sz="0" w:space="0" w:color="auto"/>
        <w:right w:val="none" w:sz="0" w:space="0" w:color="auto"/>
      </w:divBdr>
    </w:div>
    <w:div w:id="1707172529">
      <w:bodyDiv w:val="1"/>
      <w:marLeft w:val="0"/>
      <w:marRight w:val="0"/>
      <w:marTop w:val="0"/>
      <w:marBottom w:val="0"/>
      <w:divBdr>
        <w:top w:val="none" w:sz="0" w:space="0" w:color="auto"/>
        <w:left w:val="none" w:sz="0" w:space="0" w:color="auto"/>
        <w:bottom w:val="none" w:sz="0" w:space="0" w:color="auto"/>
        <w:right w:val="none" w:sz="0" w:space="0" w:color="auto"/>
      </w:divBdr>
    </w:div>
    <w:div w:id="1863546914">
      <w:bodyDiv w:val="1"/>
      <w:marLeft w:val="0"/>
      <w:marRight w:val="0"/>
      <w:marTop w:val="0"/>
      <w:marBottom w:val="0"/>
      <w:divBdr>
        <w:top w:val="none" w:sz="0" w:space="0" w:color="auto"/>
        <w:left w:val="none" w:sz="0" w:space="0" w:color="auto"/>
        <w:bottom w:val="none" w:sz="0" w:space="0" w:color="auto"/>
        <w:right w:val="none" w:sz="0" w:space="0" w:color="auto"/>
      </w:divBdr>
    </w:div>
    <w:div w:id="1973552761">
      <w:bodyDiv w:val="1"/>
      <w:marLeft w:val="0"/>
      <w:marRight w:val="0"/>
      <w:marTop w:val="0"/>
      <w:marBottom w:val="0"/>
      <w:divBdr>
        <w:top w:val="none" w:sz="0" w:space="0" w:color="auto"/>
        <w:left w:val="none" w:sz="0" w:space="0" w:color="auto"/>
        <w:bottom w:val="none" w:sz="0" w:space="0" w:color="auto"/>
        <w:right w:val="none" w:sz="0" w:space="0" w:color="auto"/>
      </w:divBdr>
    </w:div>
    <w:div w:id="2104760575">
      <w:bodyDiv w:val="1"/>
      <w:marLeft w:val="0"/>
      <w:marRight w:val="0"/>
      <w:marTop w:val="0"/>
      <w:marBottom w:val="0"/>
      <w:divBdr>
        <w:top w:val="none" w:sz="0" w:space="0" w:color="auto"/>
        <w:left w:val="none" w:sz="0" w:space="0" w:color="auto"/>
        <w:bottom w:val="none" w:sz="0" w:space="0" w:color="auto"/>
        <w:right w:val="none" w:sz="0" w:space="0" w:color="auto"/>
      </w:divBdr>
      <w:divsChild>
        <w:div w:id="1895847416">
          <w:marLeft w:val="0"/>
          <w:marRight w:val="0"/>
          <w:marTop w:val="0"/>
          <w:marBottom w:val="0"/>
          <w:divBdr>
            <w:top w:val="none" w:sz="0" w:space="0" w:color="auto"/>
            <w:left w:val="none" w:sz="0" w:space="0" w:color="auto"/>
            <w:bottom w:val="none" w:sz="0" w:space="0" w:color="auto"/>
            <w:right w:val="none" w:sz="0" w:space="0" w:color="auto"/>
          </w:divBdr>
          <w:divsChild>
            <w:div w:id="2024896793">
              <w:marLeft w:val="0"/>
              <w:marRight w:val="0"/>
              <w:marTop w:val="0"/>
              <w:marBottom w:val="0"/>
              <w:divBdr>
                <w:top w:val="none" w:sz="0" w:space="0" w:color="auto"/>
                <w:left w:val="none" w:sz="0" w:space="0" w:color="auto"/>
                <w:bottom w:val="none" w:sz="0" w:space="0" w:color="auto"/>
                <w:right w:val="none" w:sz="0" w:space="0" w:color="auto"/>
              </w:divBdr>
              <w:divsChild>
                <w:div w:id="754664576">
                  <w:marLeft w:val="0"/>
                  <w:marRight w:val="0"/>
                  <w:marTop w:val="0"/>
                  <w:marBottom w:val="0"/>
                  <w:divBdr>
                    <w:top w:val="none" w:sz="0" w:space="0" w:color="auto"/>
                    <w:left w:val="none" w:sz="0" w:space="0" w:color="auto"/>
                    <w:bottom w:val="none" w:sz="0" w:space="0" w:color="auto"/>
                    <w:right w:val="none" w:sz="0" w:space="0" w:color="auto"/>
                  </w:divBdr>
                  <w:divsChild>
                    <w:div w:id="1352220314">
                      <w:marLeft w:val="0"/>
                      <w:marRight w:val="0"/>
                      <w:marTop w:val="0"/>
                      <w:marBottom w:val="0"/>
                      <w:divBdr>
                        <w:top w:val="none" w:sz="0" w:space="0" w:color="auto"/>
                        <w:left w:val="none" w:sz="0" w:space="0" w:color="auto"/>
                        <w:bottom w:val="none" w:sz="0" w:space="0" w:color="auto"/>
                        <w:right w:val="none" w:sz="0" w:space="0" w:color="auto"/>
                      </w:divBdr>
                      <w:divsChild>
                        <w:div w:id="6368558">
                          <w:marLeft w:val="0"/>
                          <w:marRight w:val="0"/>
                          <w:marTop w:val="0"/>
                          <w:marBottom w:val="0"/>
                          <w:divBdr>
                            <w:top w:val="none" w:sz="0" w:space="0" w:color="auto"/>
                            <w:left w:val="none" w:sz="0" w:space="0" w:color="auto"/>
                            <w:bottom w:val="none" w:sz="0" w:space="0" w:color="auto"/>
                            <w:right w:val="none" w:sz="0" w:space="0" w:color="auto"/>
                          </w:divBdr>
                          <w:divsChild>
                            <w:div w:id="1010108406">
                              <w:marLeft w:val="0"/>
                              <w:marRight w:val="300"/>
                              <w:marTop w:val="180"/>
                              <w:marBottom w:val="0"/>
                              <w:divBdr>
                                <w:top w:val="none" w:sz="0" w:space="0" w:color="auto"/>
                                <w:left w:val="none" w:sz="0" w:space="0" w:color="auto"/>
                                <w:bottom w:val="none" w:sz="0" w:space="0" w:color="auto"/>
                                <w:right w:val="none" w:sz="0" w:space="0" w:color="auto"/>
                              </w:divBdr>
                              <w:divsChild>
                                <w:div w:id="12033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33314">
          <w:marLeft w:val="0"/>
          <w:marRight w:val="0"/>
          <w:marTop w:val="0"/>
          <w:marBottom w:val="0"/>
          <w:divBdr>
            <w:top w:val="none" w:sz="0" w:space="0" w:color="auto"/>
            <w:left w:val="none" w:sz="0" w:space="0" w:color="auto"/>
            <w:bottom w:val="none" w:sz="0" w:space="0" w:color="auto"/>
            <w:right w:val="none" w:sz="0" w:space="0" w:color="auto"/>
          </w:divBdr>
          <w:divsChild>
            <w:div w:id="815532162">
              <w:marLeft w:val="0"/>
              <w:marRight w:val="0"/>
              <w:marTop w:val="0"/>
              <w:marBottom w:val="0"/>
              <w:divBdr>
                <w:top w:val="none" w:sz="0" w:space="0" w:color="auto"/>
                <w:left w:val="none" w:sz="0" w:space="0" w:color="auto"/>
                <w:bottom w:val="none" w:sz="0" w:space="0" w:color="auto"/>
                <w:right w:val="none" w:sz="0" w:space="0" w:color="auto"/>
              </w:divBdr>
              <w:divsChild>
                <w:div w:id="1230074245">
                  <w:marLeft w:val="0"/>
                  <w:marRight w:val="0"/>
                  <w:marTop w:val="0"/>
                  <w:marBottom w:val="0"/>
                  <w:divBdr>
                    <w:top w:val="none" w:sz="0" w:space="0" w:color="auto"/>
                    <w:left w:val="none" w:sz="0" w:space="0" w:color="auto"/>
                    <w:bottom w:val="none" w:sz="0" w:space="0" w:color="auto"/>
                    <w:right w:val="none" w:sz="0" w:space="0" w:color="auto"/>
                  </w:divBdr>
                  <w:divsChild>
                    <w:div w:id="1943032049">
                      <w:marLeft w:val="0"/>
                      <w:marRight w:val="0"/>
                      <w:marTop w:val="0"/>
                      <w:marBottom w:val="0"/>
                      <w:divBdr>
                        <w:top w:val="none" w:sz="0" w:space="0" w:color="auto"/>
                        <w:left w:val="none" w:sz="0" w:space="0" w:color="auto"/>
                        <w:bottom w:val="none" w:sz="0" w:space="0" w:color="auto"/>
                        <w:right w:val="none" w:sz="0" w:space="0" w:color="auto"/>
                      </w:divBdr>
                      <w:divsChild>
                        <w:div w:id="1069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84373">
      <w:bodyDiv w:val="1"/>
      <w:marLeft w:val="0"/>
      <w:marRight w:val="0"/>
      <w:marTop w:val="0"/>
      <w:marBottom w:val="0"/>
      <w:divBdr>
        <w:top w:val="none" w:sz="0" w:space="0" w:color="auto"/>
        <w:left w:val="none" w:sz="0" w:space="0" w:color="auto"/>
        <w:bottom w:val="none" w:sz="0" w:space="0" w:color="auto"/>
        <w:right w:val="none" w:sz="0" w:space="0" w:color="auto"/>
      </w:divBdr>
    </w:div>
    <w:div w:id="2128766789">
      <w:bodyDiv w:val="1"/>
      <w:marLeft w:val="0"/>
      <w:marRight w:val="0"/>
      <w:marTop w:val="0"/>
      <w:marBottom w:val="0"/>
      <w:divBdr>
        <w:top w:val="none" w:sz="0" w:space="0" w:color="auto"/>
        <w:left w:val="none" w:sz="0" w:space="0" w:color="auto"/>
        <w:bottom w:val="none" w:sz="0" w:space="0" w:color="auto"/>
        <w:right w:val="none" w:sz="0" w:space="0" w:color="auto"/>
      </w:divBdr>
    </w:div>
    <w:div w:id="2138527016">
      <w:bodyDiv w:val="1"/>
      <w:marLeft w:val="0"/>
      <w:marRight w:val="0"/>
      <w:marTop w:val="0"/>
      <w:marBottom w:val="0"/>
      <w:divBdr>
        <w:top w:val="none" w:sz="0" w:space="0" w:color="auto"/>
        <w:left w:val="none" w:sz="0" w:space="0" w:color="auto"/>
        <w:bottom w:val="none" w:sz="0" w:space="0" w:color="auto"/>
        <w:right w:val="none" w:sz="0" w:space="0" w:color="auto"/>
      </w:divBdr>
      <w:divsChild>
        <w:div w:id="1214002534">
          <w:marLeft w:val="0"/>
          <w:marRight w:val="0"/>
          <w:marTop w:val="0"/>
          <w:marBottom w:val="0"/>
          <w:divBdr>
            <w:top w:val="none" w:sz="0" w:space="0" w:color="auto"/>
            <w:left w:val="none" w:sz="0" w:space="0" w:color="auto"/>
            <w:bottom w:val="none" w:sz="0" w:space="0" w:color="auto"/>
            <w:right w:val="none" w:sz="0" w:space="0" w:color="auto"/>
          </w:divBdr>
        </w:div>
        <w:div w:id="48983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bor.hr/en/political-parties-act" TargetMode="External"/><Relationship Id="rId13" Type="http://schemas.openxmlformats.org/officeDocument/2006/relationships/hyperlink" Target="https://www.idea.int/data-tools/country-view/252/40" TargetMode="External"/><Relationship Id="rId18" Type="http://schemas.openxmlformats.org/officeDocument/2006/relationships/hyperlink" Target="http://www.cdep.ro/pls/steno/steno.stenograma?ids=6203&amp;idm=10" TargetMode="External"/><Relationship Id="rId26" Type="http://schemas.openxmlformats.org/officeDocument/2006/relationships/hyperlink" Target="http://legislatie.just.ro/Public/DetaliiDocumentAfis/8178" TargetMode="External"/><Relationship Id="rId3" Type="http://schemas.openxmlformats.org/officeDocument/2006/relationships/hyperlink" Target="https://eur-lex.europa.eu/legal-content/EN/TXT/?uri=CELEX%3A32018D0937" TargetMode="External"/><Relationship Id="rId21" Type="http://schemas.openxmlformats.org/officeDocument/2006/relationships/hyperlink" Target="http://www.cdep.ro/pls/steno/steno.stenograma?ids=6210&amp;idm=3" TargetMode="External"/><Relationship Id="rId7" Type="http://schemas.openxmlformats.org/officeDocument/2006/relationships/hyperlink" Target="https://vaalit.fi/en/establishment-of-a-party" TargetMode="External"/><Relationship Id="rId12" Type="http://schemas.openxmlformats.org/officeDocument/2006/relationships/hyperlink" Target="https://www.idea.int/data-tools/country-view/94/40" TargetMode="External"/><Relationship Id="rId17" Type="http://schemas.openxmlformats.org/officeDocument/2006/relationships/hyperlink" Target="http://www.roaep.ro/legislatie/wp-content/uploads/2004/01/Legea_67.pdf" TargetMode="External"/><Relationship Id="rId25" Type="http://schemas.openxmlformats.org/officeDocument/2006/relationships/hyperlink" Target="https://m.jurnalul.antena3.ro/stiri/europarlamentare-piedici-noi-pentru-independenti-146141.html" TargetMode="External"/><Relationship Id="rId2" Type="http://schemas.openxmlformats.org/officeDocument/2006/relationships/hyperlink" Target="https://eur-lex.europa.eu/legal-content/en/ALL/?uri=CELEX%3A32002D0772" TargetMode="External"/><Relationship Id="rId16" Type="http://schemas.openxmlformats.org/officeDocument/2006/relationships/hyperlink" Target="http://www.cdep.ro/pls/steno/steno.stenograma?ids=6203&amp;idm=10" TargetMode="External"/><Relationship Id="rId20" Type="http://schemas.openxmlformats.org/officeDocument/2006/relationships/hyperlink" Target="http://www.cdep.ro/pls/steno/steno.stenograma?ids=6203&amp;idm=10" TargetMode="External"/><Relationship Id="rId29" Type="http://schemas.openxmlformats.org/officeDocument/2006/relationships/hyperlink" Target="http://alegeri.roaep.ro/?alegeri=test-parlamentare" TargetMode="External"/><Relationship Id="rId1" Type="http://schemas.openxmlformats.org/officeDocument/2006/relationships/hyperlink" Target="https://supreme.justia.com/cases/federal/us/405/134/" TargetMode="External"/><Relationship Id="rId6" Type="http://schemas.openxmlformats.org/officeDocument/2006/relationships/hyperlink" Target="https://www.val.se/for-partier/partibeteckning/registrera-partibeteckning.html" TargetMode="External"/><Relationship Id="rId11" Type="http://schemas.openxmlformats.org/officeDocument/2006/relationships/hyperlink" Target="https://likumi.lv/doc.php?id=84185" TargetMode="External"/><Relationship Id="rId24" Type="http://schemas.openxmlformats.org/officeDocument/2006/relationships/hyperlink" Target="http://legislatie.just.ro/Public/DetaliiDocumentAfis/78622" TargetMode="External"/><Relationship Id="rId5" Type="http://schemas.openxmlformats.org/officeDocument/2006/relationships/hyperlink" Target="http://aceproject.org/main/samples/pc/pcx_m004.pdf" TargetMode="External"/><Relationship Id="rId15" Type="http://schemas.openxmlformats.org/officeDocument/2006/relationships/hyperlink" Target="https://senat.ro/legis/PDF/2006/06L878FG.pdf" TargetMode="External"/><Relationship Id="rId23" Type="http://schemas.openxmlformats.org/officeDocument/2006/relationships/hyperlink" Target="http://www.cdep.ro/pls/dic/site2015.page?den=act2_1&amp;par1=2" TargetMode="External"/><Relationship Id="rId28" Type="http://schemas.openxmlformats.org/officeDocument/2006/relationships/hyperlink" Target="http://legislatie.just.ro/Public/DetaliiDocumentAfis/78622" TargetMode="External"/><Relationship Id="rId10" Type="http://schemas.openxmlformats.org/officeDocument/2006/relationships/hyperlink" Target="https://www.vestnesis.lv/ta/id/84185-eiropas-parlamenta-velesanu-likums" TargetMode="External"/><Relationship Id="rId19" Type="http://schemas.openxmlformats.org/officeDocument/2006/relationships/hyperlink" Target="http://www.cdep.ro/pls/steno/steno.stenograma?ids=6223&amp;idm=5" TargetMode="External"/><Relationship Id="rId31" Type="http://schemas.openxmlformats.org/officeDocument/2006/relationships/hyperlink" Target="http://www.cdep.ro/pls/dic/site2015.page?den=act2_1&amp;par1=2" TargetMode="External"/><Relationship Id="rId4" Type="http://schemas.openxmlformats.org/officeDocument/2006/relationships/hyperlink" Target="https://eur-lex.europa.eu/eli/dec/2018/994/oj" TargetMode="External"/><Relationship Id="rId9" Type="http://schemas.openxmlformats.org/officeDocument/2006/relationships/hyperlink" Target="https://elections.oim.dk/media/10511/consolidated-act-ep-elections-2014.pdf" TargetMode="External"/><Relationship Id="rId14" Type="http://schemas.openxmlformats.org/officeDocument/2006/relationships/hyperlink" Target="https://pkw.gov.pl/pliki/1550151251_kodeks_wyborczy_-_2019_02_14.pdf" TargetMode="External"/><Relationship Id="rId22" Type="http://schemas.openxmlformats.org/officeDocument/2006/relationships/hyperlink" Target="http://bec2009pe.roaep.ro/Documente%20PDF/Rezultate/Rezultate%20finale/Comunicat%20BEC.pdf" TargetMode="External"/><Relationship Id="rId27" Type="http://schemas.openxmlformats.org/officeDocument/2006/relationships/hyperlink" Target="http://legislatie.just.ro/Public/DetaliiDocumentAfis/8395" TargetMode="External"/><Relationship Id="rId30" Type="http://schemas.openxmlformats.org/officeDocument/2006/relationships/hyperlink" Target="https://www.venice.coe.int/webforms/documents/default.aspx?pdffile=CDL-AD(2002)023rev2-co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berta\AppData\Roaming\Microsoft\Excel\Ballot%20access%20completari%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A-Roberta\Dan%20Masca\Ballot%20access%20completar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berta\AppData\Roaming\Microsoft\Excel\Ballot%20access%20completari%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A-Roberta\Dan%20Masca\Ballot%20access%20completar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A-Roberta\Dan%20Masca\Ballot%20access%20completari.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Sheet2!$B$1</c:f>
              <c:strCache>
                <c:ptCount val="1"/>
                <c:pt idx="0">
                  <c:v>Depozit în bani (euro)</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Sheet2!$A$2:$A$28</c:f>
              <c:strCache>
                <c:ptCount val="27"/>
                <c:pt idx="0">
                  <c:v>Austria</c:v>
                </c:pt>
                <c:pt idx="1">
                  <c:v>Belgia</c:v>
                </c:pt>
                <c:pt idx="2">
                  <c:v>Bulgaria</c:v>
                </c:pt>
                <c:pt idx="3">
                  <c:v>Cehia</c:v>
                </c:pt>
                <c:pt idx="4">
                  <c:v>Cipru</c:v>
                </c:pt>
                <c:pt idx="5">
                  <c:v>Croația</c:v>
                </c:pt>
                <c:pt idx="6">
                  <c:v>Danemarca</c:v>
                </c:pt>
                <c:pt idx="7">
                  <c:v>Estonia</c:v>
                </c:pt>
                <c:pt idx="8">
                  <c:v>Finlanda</c:v>
                </c:pt>
                <c:pt idx="9">
                  <c:v>Franța</c:v>
                </c:pt>
                <c:pt idx="10">
                  <c:v>Germania</c:v>
                </c:pt>
                <c:pt idx="11">
                  <c:v>Grecia</c:v>
                </c:pt>
                <c:pt idx="12">
                  <c:v>Irlanda</c:v>
                </c:pt>
                <c:pt idx="13">
                  <c:v>Italia</c:v>
                </c:pt>
                <c:pt idx="14">
                  <c:v>Letonia</c:v>
                </c:pt>
                <c:pt idx="15">
                  <c:v>Lituania</c:v>
                </c:pt>
                <c:pt idx="16">
                  <c:v>Luxemburg</c:v>
                </c:pt>
                <c:pt idx="17">
                  <c:v>Malta</c:v>
                </c:pt>
                <c:pt idx="18">
                  <c:v>Olanda</c:v>
                </c:pt>
                <c:pt idx="19">
                  <c:v>Polonia</c:v>
                </c:pt>
                <c:pt idx="20">
                  <c:v>Portugalia</c:v>
                </c:pt>
                <c:pt idx="21">
                  <c:v>Romania</c:v>
                </c:pt>
                <c:pt idx="22">
                  <c:v>Slovacia</c:v>
                </c:pt>
                <c:pt idx="23">
                  <c:v>Slovenia</c:v>
                </c:pt>
                <c:pt idx="24">
                  <c:v>Spania</c:v>
                </c:pt>
                <c:pt idx="25">
                  <c:v>Suedia</c:v>
                </c:pt>
                <c:pt idx="26">
                  <c:v>Ungaria</c:v>
                </c:pt>
              </c:strCache>
            </c:strRef>
          </c:cat>
          <c:val>
            <c:numRef>
              <c:f>Sheet2!$B$2:$B$28</c:f>
              <c:numCache>
                <c:formatCode>General</c:formatCode>
                <c:ptCount val="27"/>
                <c:pt idx="0" formatCode="#,##0">
                  <c:v>3600</c:v>
                </c:pt>
                <c:pt idx="1">
                  <c:v>0</c:v>
                </c:pt>
                <c:pt idx="2" formatCode="#,##0">
                  <c:v>1300</c:v>
                </c:pt>
                <c:pt idx="3">
                  <c:v>585</c:v>
                </c:pt>
                <c:pt idx="4" formatCode="#,##0">
                  <c:v>6000</c:v>
                </c:pt>
                <c:pt idx="5">
                  <c:v>0</c:v>
                </c:pt>
                <c:pt idx="6">
                  <c:v>0</c:v>
                </c:pt>
                <c:pt idx="7">
                  <c:v>2700</c:v>
                </c:pt>
                <c:pt idx="8">
                  <c:v>0</c:v>
                </c:pt>
                <c:pt idx="9" formatCode="#,##0">
                  <c:v>9200</c:v>
                </c:pt>
                <c:pt idx="10">
                  <c:v>0</c:v>
                </c:pt>
                <c:pt idx="11" formatCode="#,##0">
                  <c:v>3000</c:v>
                </c:pt>
                <c:pt idx="12">
                  <c:v>0</c:v>
                </c:pt>
                <c:pt idx="13">
                  <c:v>0</c:v>
                </c:pt>
                <c:pt idx="14" formatCode="#,##0">
                  <c:v>1400</c:v>
                </c:pt>
                <c:pt idx="15" formatCode="#,##0">
                  <c:v>9350</c:v>
                </c:pt>
                <c:pt idx="16">
                  <c:v>0</c:v>
                </c:pt>
                <c:pt idx="17" formatCode="#,##0">
                  <c:v>1080</c:v>
                </c:pt>
                <c:pt idx="18" formatCode="#,##0">
                  <c:v>11200</c:v>
                </c:pt>
                <c:pt idx="19">
                  <c:v>0</c:v>
                </c:pt>
                <c:pt idx="20">
                  <c:v>0</c:v>
                </c:pt>
                <c:pt idx="21">
                  <c:v>0</c:v>
                </c:pt>
                <c:pt idx="22" formatCode="#,##0">
                  <c:v>17000</c:v>
                </c:pt>
                <c:pt idx="23">
                  <c:v>0</c:v>
                </c:pt>
                <c:pt idx="24">
                  <c:v>0</c:v>
                </c:pt>
                <c:pt idx="25">
                  <c:v>0</c:v>
                </c:pt>
                <c:pt idx="26">
                  <c:v>0</c:v>
                </c:pt>
              </c:numCache>
            </c:numRef>
          </c:val>
          <c:smooth val="0"/>
          <c:extLst>
            <c:ext xmlns:c16="http://schemas.microsoft.com/office/drawing/2014/chart" uri="{C3380CC4-5D6E-409C-BE32-E72D297353CC}">
              <c16:uniqueId val="{00000000-9C23-4530-8650-EA784DF04BF5}"/>
            </c:ext>
          </c:extLst>
        </c:ser>
        <c:ser>
          <c:idx val="1"/>
          <c:order val="1"/>
          <c:tx>
            <c:strRef>
              <c:f>Sheet2!$C$1</c:f>
              <c:strCache>
                <c:ptCount val="1"/>
                <c:pt idx="0">
                  <c:v>Număr semnături</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Sheet2!$A$2:$A$28</c:f>
              <c:strCache>
                <c:ptCount val="27"/>
                <c:pt idx="0">
                  <c:v>Austria</c:v>
                </c:pt>
                <c:pt idx="1">
                  <c:v>Belgia</c:v>
                </c:pt>
                <c:pt idx="2">
                  <c:v>Bulgaria</c:v>
                </c:pt>
                <c:pt idx="3">
                  <c:v>Cehia</c:v>
                </c:pt>
                <c:pt idx="4">
                  <c:v>Cipru</c:v>
                </c:pt>
                <c:pt idx="5">
                  <c:v>Croația</c:v>
                </c:pt>
                <c:pt idx="6">
                  <c:v>Danemarca</c:v>
                </c:pt>
                <c:pt idx="7">
                  <c:v>Estonia</c:v>
                </c:pt>
                <c:pt idx="8">
                  <c:v>Finlanda</c:v>
                </c:pt>
                <c:pt idx="9">
                  <c:v>Franța</c:v>
                </c:pt>
                <c:pt idx="10">
                  <c:v>Germania</c:v>
                </c:pt>
                <c:pt idx="11">
                  <c:v>Grecia</c:v>
                </c:pt>
                <c:pt idx="12">
                  <c:v>Irlanda</c:v>
                </c:pt>
                <c:pt idx="13">
                  <c:v>Italia</c:v>
                </c:pt>
                <c:pt idx="14">
                  <c:v>Letonia</c:v>
                </c:pt>
                <c:pt idx="15">
                  <c:v>Lituania</c:v>
                </c:pt>
                <c:pt idx="16">
                  <c:v>Luxemburg</c:v>
                </c:pt>
                <c:pt idx="17">
                  <c:v>Malta</c:v>
                </c:pt>
                <c:pt idx="18">
                  <c:v>Olanda</c:v>
                </c:pt>
                <c:pt idx="19">
                  <c:v>Polonia</c:v>
                </c:pt>
                <c:pt idx="20">
                  <c:v>Portugalia</c:v>
                </c:pt>
                <c:pt idx="21">
                  <c:v>Romania</c:v>
                </c:pt>
                <c:pt idx="22">
                  <c:v>Slovacia</c:v>
                </c:pt>
                <c:pt idx="23">
                  <c:v>Slovenia</c:v>
                </c:pt>
                <c:pt idx="24">
                  <c:v>Spania</c:v>
                </c:pt>
                <c:pt idx="25">
                  <c:v>Suedia</c:v>
                </c:pt>
                <c:pt idx="26">
                  <c:v>Ungaria</c:v>
                </c:pt>
              </c:strCache>
            </c:strRef>
          </c:cat>
          <c:val>
            <c:numRef>
              <c:f>Sheet2!$C$2:$C$28</c:f>
              <c:numCache>
                <c:formatCode>General</c:formatCode>
                <c:ptCount val="27"/>
                <c:pt idx="0" formatCode="#,##0">
                  <c:v>2600</c:v>
                </c:pt>
                <c:pt idx="1">
                  <c:v>0</c:v>
                </c:pt>
                <c:pt idx="2" formatCode="#,##0">
                  <c:v>2500</c:v>
                </c:pt>
                <c:pt idx="3">
                  <c:v>0</c:v>
                </c:pt>
                <c:pt idx="4">
                  <c:v>0</c:v>
                </c:pt>
                <c:pt idx="5">
                  <c:v>0</c:v>
                </c:pt>
                <c:pt idx="6" formatCode="#,##0">
                  <c:v>71200</c:v>
                </c:pt>
                <c:pt idx="7">
                  <c:v>0</c:v>
                </c:pt>
                <c:pt idx="8">
                  <c:v>0</c:v>
                </c:pt>
                <c:pt idx="9">
                  <c:v>0</c:v>
                </c:pt>
                <c:pt idx="10" formatCode="#,##0">
                  <c:v>4000</c:v>
                </c:pt>
                <c:pt idx="11">
                  <c:v>0</c:v>
                </c:pt>
                <c:pt idx="12">
                  <c:v>0</c:v>
                </c:pt>
                <c:pt idx="13" formatCode="#,##0">
                  <c:v>35000</c:v>
                </c:pt>
                <c:pt idx="14">
                  <c:v>500</c:v>
                </c:pt>
                <c:pt idx="15" formatCode="#,##0">
                  <c:v>10000</c:v>
                </c:pt>
                <c:pt idx="16">
                  <c:v>0</c:v>
                </c:pt>
                <c:pt idx="17">
                  <c:v>48</c:v>
                </c:pt>
                <c:pt idx="18">
                  <c:v>30</c:v>
                </c:pt>
                <c:pt idx="19" formatCode="#,##0">
                  <c:v>10000</c:v>
                </c:pt>
                <c:pt idx="20">
                  <c:v>0</c:v>
                </c:pt>
                <c:pt idx="21" formatCode="#,##0">
                  <c:v>200000</c:v>
                </c:pt>
                <c:pt idx="22">
                  <c:v>0</c:v>
                </c:pt>
                <c:pt idx="23" formatCode="#,##0">
                  <c:v>1000</c:v>
                </c:pt>
                <c:pt idx="24" formatCode="#,##0">
                  <c:v>15000</c:v>
                </c:pt>
                <c:pt idx="25">
                  <c:v>0</c:v>
                </c:pt>
                <c:pt idx="26" formatCode="#,##0">
                  <c:v>20000</c:v>
                </c:pt>
              </c:numCache>
            </c:numRef>
          </c:val>
          <c:smooth val="0"/>
          <c:extLst>
            <c:ext xmlns:c16="http://schemas.microsoft.com/office/drawing/2014/chart" uri="{C3380CC4-5D6E-409C-BE32-E72D297353CC}">
              <c16:uniqueId val="{00000001-9C23-4530-8650-EA784DF04BF5}"/>
            </c:ext>
          </c:extLst>
        </c:ser>
        <c:dLbls>
          <c:showLegendKey val="0"/>
          <c:showVal val="0"/>
          <c:showCatName val="0"/>
          <c:showSerName val="0"/>
          <c:showPercent val="0"/>
          <c:showBubbleSize val="0"/>
        </c:dLbls>
        <c:marker val="1"/>
        <c:smooth val="0"/>
        <c:axId val="496831872"/>
        <c:axId val="496830232"/>
      </c:lineChart>
      <c:catAx>
        <c:axId val="49683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830232"/>
        <c:crosses val="autoZero"/>
        <c:auto val="1"/>
        <c:lblAlgn val="ctr"/>
        <c:lblOffset val="100"/>
        <c:noMultiLvlLbl val="0"/>
      </c:catAx>
      <c:valAx>
        <c:axId val="496830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8318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Sheet2!$B$1</c:f>
              <c:strCache>
                <c:ptCount val="1"/>
                <c:pt idx="0">
                  <c:v>Depozit în bani (euro)</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Sheet2!$A$2:$A$28</c:f>
              <c:strCache>
                <c:ptCount val="27"/>
                <c:pt idx="0">
                  <c:v>Austria</c:v>
                </c:pt>
                <c:pt idx="1">
                  <c:v>Belgia</c:v>
                </c:pt>
                <c:pt idx="2">
                  <c:v>Bulgaria</c:v>
                </c:pt>
                <c:pt idx="3">
                  <c:v>Cehia</c:v>
                </c:pt>
                <c:pt idx="4">
                  <c:v>Cipru</c:v>
                </c:pt>
                <c:pt idx="5">
                  <c:v>Croația</c:v>
                </c:pt>
                <c:pt idx="6">
                  <c:v>Danemarca</c:v>
                </c:pt>
                <c:pt idx="7">
                  <c:v>Estonia</c:v>
                </c:pt>
                <c:pt idx="8">
                  <c:v>Finlanda</c:v>
                </c:pt>
                <c:pt idx="9">
                  <c:v>Franța</c:v>
                </c:pt>
                <c:pt idx="10">
                  <c:v>Germania</c:v>
                </c:pt>
                <c:pt idx="11">
                  <c:v>Grecia</c:v>
                </c:pt>
                <c:pt idx="12">
                  <c:v>Irlanda</c:v>
                </c:pt>
                <c:pt idx="13">
                  <c:v>Italia</c:v>
                </c:pt>
                <c:pt idx="14">
                  <c:v>Letonia</c:v>
                </c:pt>
                <c:pt idx="15">
                  <c:v>Lituania</c:v>
                </c:pt>
                <c:pt idx="16">
                  <c:v>Luxemburg</c:v>
                </c:pt>
                <c:pt idx="17">
                  <c:v>Malta</c:v>
                </c:pt>
                <c:pt idx="18">
                  <c:v>Olanda</c:v>
                </c:pt>
                <c:pt idx="19">
                  <c:v>Polonia</c:v>
                </c:pt>
                <c:pt idx="20">
                  <c:v>Portugalia</c:v>
                </c:pt>
                <c:pt idx="21">
                  <c:v>Romania</c:v>
                </c:pt>
                <c:pt idx="22">
                  <c:v>Slovacia</c:v>
                </c:pt>
                <c:pt idx="23">
                  <c:v>Slovenia</c:v>
                </c:pt>
                <c:pt idx="24">
                  <c:v>Spania</c:v>
                </c:pt>
                <c:pt idx="25">
                  <c:v>Suedia</c:v>
                </c:pt>
                <c:pt idx="26">
                  <c:v>Ungaria</c:v>
                </c:pt>
              </c:strCache>
            </c:strRef>
          </c:cat>
          <c:val>
            <c:numRef>
              <c:f>Sheet2!$B$2:$B$28</c:f>
              <c:numCache>
                <c:formatCode>General</c:formatCode>
                <c:ptCount val="27"/>
                <c:pt idx="0" formatCode="#,##0">
                  <c:v>3600</c:v>
                </c:pt>
                <c:pt idx="1">
                  <c:v>0</c:v>
                </c:pt>
                <c:pt idx="2" formatCode="#,##0">
                  <c:v>1300</c:v>
                </c:pt>
                <c:pt idx="3">
                  <c:v>585</c:v>
                </c:pt>
                <c:pt idx="4" formatCode="#,##0">
                  <c:v>6000</c:v>
                </c:pt>
                <c:pt idx="5">
                  <c:v>0</c:v>
                </c:pt>
                <c:pt idx="6">
                  <c:v>0</c:v>
                </c:pt>
                <c:pt idx="7">
                  <c:v>2700</c:v>
                </c:pt>
                <c:pt idx="8">
                  <c:v>0</c:v>
                </c:pt>
                <c:pt idx="9" formatCode="#,##0">
                  <c:v>9200</c:v>
                </c:pt>
                <c:pt idx="10">
                  <c:v>0</c:v>
                </c:pt>
                <c:pt idx="11" formatCode="#,##0">
                  <c:v>3000</c:v>
                </c:pt>
                <c:pt idx="12">
                  <c:v>0</c:v>
                </c:pt>
                <c:pt idx="13">
                  <c:v>0</c:v>
                </c:pt>
                <c:pt idx="14" formatCode="#,##0">
                  <c:v>1400</c:v>
                </c:pt>
                <c:pt idx="15" formatCode="#,##0">
                  <c:v>9350</c:v>
                </c:pt>
                <c:pt idx="16">
                  <c:v>0</c:v>
                </c:pt>
                <c:pt idx="17" formatCode="#,##0">
                  <c:v>1080</c:v>
                </c:pt>
                <c:pt idx="18" formatCode="#,##0">
                  <c:v>11200</c:v>
                </c:pt>
                <c:pt idx="19">
                  <c:v>0</c:v>
                </c:pt>
                <c:pt idx="20">
                  <c:v>0</c:v>
                </c:pt>
                <c:pt idx="21">
                  <c:v>0</c:v>
                </c:pt>
                <c:pt idx="22" formatCode="#,##0">
                  <c:v>17000</c:v>
                </c:pt>
                <c:pt idx="23">
                  <c:v>0</c:v>
                </c:pt>
                <c:pt idx="24">
                  <c:v>0</c:v>
                </c:pt>
                <c:pt idx="25">
                  <c:v>0</c:v>
                </c:pt>
                <c:pt idx="26">
                  <c:v>0</c:v>
                </c:pt>
              </c:numCache>
            </c:numRef>
          </c:val>
          <c:smooth val="0"/>
          <c:extLst>
            <c:ext xmlns:c16="http://schemas.microsoft.com/office/drawing/2014/chart" uri="{C3380CC4-5D6E-409C-BE32-E72D297353CC}">
              <c16:uniqueId val="{00000000-C8B1-459B-81FE-383A461971CD}"/>
            </c:ext>
          </c:extLst>
        </c:ser>
        <c:dLbls>
          <c:showLegendKey val="0"/>
          <c:showVal val="0"/>
          <c:showCatName val="0"/>
          <c:showSerName val="0"/>
          <c:showPercent val="0"/>
          <c:showBubbleSize val="0"/>
        </c:dLbls>
        <c:marker val="1"/>
        <c:smooth val="0"/>
        <c:axId val="536319736"/>
        <c:axId val="535687960"/>
      </c:lineChart>
      <c:catAx>
        <c:axId val="53631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687960"/>
        <c:crosses val="autoZero"/>
        <c:auto val="1"/>
        <c:lblAlgn val="ctr"/>
        <c:lblOffset val="100"/>
        <c:noMultiLvlLbl val="0"/>
      </c:catAx>
      <c:valAx>
        <c:axId val="535687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319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Depozit în</a:t>
            </a:r>
            <a:r>
              <a:rPr lang="ro-RO" baseline="0"/>
              <a:t> bani (euro) ș</a:t>
            </a:r>
            <a:r>
              <a:rPr lang="ro-RO"/>
              <a:t>i semnături, incluse fiind reglementările</a:t>
            </a:r>
            <a:r>
              <a:rPr lang="ro-RO" baseline="0"/>
              <a:t> din legile partidelor politice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60342560578831"/>
          <c:y val="9.0080241641664172E-2"/>
          <c:w val="0.85876820277877353"/>
          <c:h val="0.87097216146203726"/>
        </c:manualLayout>
      </c:layout>
      <c:barChart>
        <c:barDir val="bar"/>
        <c:grouping val="clustered"/>
        <c:varyColors val="0"/>
        <c:ser>
          <c:idx val="0"/>
          <c:order val="0"/>
          <c:tx>
            <c:strRef>
              <c:f>Sheet10!$B$1</c:f>
              <c:strCache>
                <c:ptCount val="1"/>
                <c:pt idx="0">
                  <c:v>Depozit în bani (euro)</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Sheet10!$A$2:$A$28</c:f>
              <c:strCache>
                <c:ptCount val="27"/>
                <c:pt idx="0">
                  <c:v>Austria</c:v>
                </c:pt>
                <c:pt idx="1">
                  <c:v>Belgia</c:v>
                </c:pt>
                <c:pt idx="2">
                  <c:v>Bulgaria</c:v>
                </c:pt>
                <c:pt idx="3">
                  <c:v>Cehia</c:v>
                </c:pt>
                <c:pt idx="4">
                  <c:v>Cipru</c:v>
                </c:pt>
                <c:pt idx="5">
                  <c:v>Croația</c:v>
                </c:pt>
                <c:pt idx="6">
                  <c:v>Danemarca</c:v>
                </c:pt>
                <c:pt idx="7">
                  <c:v>Estonia</c:v>
                </c:pt>
                <c:pt idx="8">
                  <c:v>Finlanda</c:v>
                </c:pt>
                <c:pt idx="9">
                  <c:v>Franța</c:v>
                </c:pt>
                <c:pt idx="10">
                  <c:v>Germania</c:v>
                </c:pt>
                <c:pt idx="11">
                  <c:v>Grecia</c:v>
                </c:pt>
                <c:pt idx="12">
                  <c:v>Irlanda</c:v>
                </c:pt>
                <c:pt idx="13">
                  <c:v>Italia</c:v>
                </c:pt>
                <c:pt idx="14">
                  <c:v>Letonia</c:v>
                </c:pt>
                <c:pt idx="15">
                  <c:v>Lituania</c:v>
                </c:pt>
                <c:pt idx="16">
                  <c:v>Luxemburg</c:v>
                </c:pt>
                <c:pt idx="17">
                  <c:v>Malta</c:v>
                </c:pt>
                <c:pt idx="18">
                  <c:v>Olanda</c:v>
                </c:pt>
                <c:pt idx="19">
                  <c:v>Polonia</c:v>
                </c:pt>
                <c:pt idx="20">
                  <c:v>Portugalia</c:v>
                </c:pt>
                <c:pt idx="21">
                  <c:v>Romania</c:v>
                </c:pt>
                <c:pt idx="22">
                  <c:v>Slovacia</c:v>
                </c:pt>
                <c:pt idx="23">
                  <c:v>Slovenia</c:v>
                </c:pt>
                <c:pt idx="24">
                  <c:v>Spania</c:v>
                </c:pt>
                <c:pt idx="25">
                  <c:v>Suedia</c:v>
                </c:pt>
                <c:pt idx="26">
                  <c:v>Ungaria</c:v>
                </c:pt>
              </c:strCache>
            </c:strRef>
          </c:cat>
          <c:val>
            <c:numRef>
              <c:f>Sheet10!$B$2:$B$28</c:f>
              <c:numCache>
                <c:formatCode>General</c:formatCode>
                <c:ptCount val="27"/>
                <c:pt idx="0" formatCode="#,##0">
                  <c:v>3600</c:v>
                </c:pt>
                <c:pt idx="1">
                  <c:v>0</c:v>
                </c:pt>
                <c:pt idx="2">
                  <c:v>1300</c:v>
                </c:pt>
                <c:pt idx="3">
                  <c:v>585</c:v>
                </c:pt>
                <c:pt idx="4">
                  <c:v>3000</c:v>
                </c:pt>
                <c:pt idx="5">
                  <c:v>0</c:v>
                </c:pt>
                <c:pt idx="6">
                  <c:v>0</c:v>
                </c:pt>
                <c:pt idx="7">
                  <c:v>2700</c:v>
                </c:pt>
                <c:pt idx="8">
                  <c:v>0</c:v>
                </c:pt>
                <c:pt idx="9">
                  <c:v>9200</c:v>
                </c:pt>
                <c:pt idx="10">
                  <c:v>0</c:v>
                </c:pt>
                <c:pt idx="11">
                  <c:v>3000</c:v>
                </c:pt>
                <c:pt idx="12">
                  <c:v>0</c:v>
                </c:pt>
                <c:pt idx="13">
                  <c:v>0</c:v>
                </c:pt>
                <c:pt idx="14">
                  <c:v>1400</c:v>
                </c:pt>
                <c:pt idx="15">
                  <c:v>9350</c:v>
                </c:pt>
                <c:pt idx="16">
                  <c:v>0</c:v>
                </c:pt>
                <c:pt idx="17" formatCode="#,##0">
                  <c:v>1080</c:v>
                </c:pt>
                <c:pt idx="18" formatCode="#,##0">
                  <c:v>11200</c:v>
                </c:pt>
                <c:pt idx="19">
                  <c:v>0</c:v>
                </c:pt>
                <c:pt idx="20">
                  <c:v>0</c:v>
                </c:pt>
                <c:pt idx="21">
                  <c:v>0</c:v>
                </c:pt>
                <c:pt idx="22" formatCode="#,##0">
                  <c:v>17000</c:v>
                </c:pt>
                <c:pt idx="23">
                  <c:v>0</c:v>
                </c:pt>
                <c:pt idx="24">
                  <c:v>0</c:v>
                </c:pt>
                <c:pt idx="25">
                  <c:v>0</c:v>
                </c:pt>
                <c:pt idx="26">
                  <c:v>0</c:v>
                </c:pt>
              </c:numCache>
            </c:numRef>
          </c:val>
          <c:extLst>
            <c:ext xmlns:c16="http://schemas.microsoft.com/office/drawing/2014/chart" uri="{C3380CC4-5D6E-409C-BE32-E72D297353CC}">
              <c16:uniqueId val="{00000000-AE50-4345-A4A9-997D51FA04CE}"/>
            </c:ext>
          </c:extLst>
        </c:ser>
        <c:ser>
          <c:idx val="1"/>
          <c:order val="1"/>
          <c:tx>
            <c:strRef>
              <c:f>Sheet10!$C$1</c:f>
              <c:strCache>
                <c:ptCount val="1"/>
                <c:pt idx="0">
                  <c:v>Condiții de înscriere - semnaturi</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Sheet10!$A$2:$A$28</c:f>
              <c:strCache>
                <c:ptCount val="27"/>
                <c:pt idx="0">
                  <c:v>Austria</c:v>
                </c:pt>
                <c:pt idx="1">
                  <c:v>Belgia</c:v>
                </c:pt>
                <c:pt idx="2">
                  <c:v>Bulgaria</c:v>
                </c:pt>
                <c:pt idx="3">
                  <c:v>Cehia</c:v>
                </c:pt>
                <c:pt idx="4">
                  <c:v>Cipru</c:v>
                </c:pt>
                <c:pt idx="5">
                  <c:v>Croația</c:v>
                </c:pt>
                <c:pt idx="6">
                  <c:v>Danemarca</c:v>
                </c:pt>
                <c:pt idx="7">
                  <c:v>Estonia</c:v>
                </c:pt>
                <c:pt idx="8">
                  <c:v>Finlanda</c:v>
                </c:pt>
                <c:pt idx="9">
                  <c:v>Franța</c:v>
                </c:pt>
                <c:pt idx="10">
                  <c:v>Germania</c:v>
                </c:pt>
                <c:pt idx="11">
                  <c:v>Grecia</c:v>
                </c:pt>
                <c:pt idx="12">
                  <c:v>Irlanda</c:v>
                </c:pt>
                <c:pt idx="13">
                  <c:v>Italia</c:v>
                </c:pt>
                <c:pt idx="14">
                  <c:v>Letonia</c:v>
                </c:pt>
                <c:pt idx="15">
                  <c:v>Lituania</c:v>
                </c:pt>
                <c:pt idx="16">
                  <c:v>Luxemburg</c:v>
                </c:pt>
                <c:pt idx="17">
                  <c:v>Malta</c:v>
                </c:pt>
                <c:pt idx="18">
                  <c:v>Olanda</c:v>
                </c:pt>
                <c:pt idx="19">
                  <c:v>Polonia</c:v>
                </c:pt>
                <c:pt idx="20">
                  <c:v>Portugalia</c:v>
                </c:pt>
                <c:pt idx="21">
                  <c:v>Romania</c:v>
                </c:pt>
                <c:pt idx="22">
                  <c:v>Slovacia</c:v>
                </c:pt>
                <c:pt idx="23">
                  <c:v>Slovenia</c:v>
                </c:pt>
                <c:pt idx="24">
                  <c:v>Spania</c:v>
                </c:pt>
                <c:pt idx="25">
                  <c:v>Suedia</c:v>
                </c:pt>
                <c:pt idx="26">
                  <c:v>Ungaria</c:v>
                </c:pt>
              </c:strCache>
            </c:strRef>
          </c:cat>
          <c:val>
            <c:numRef>
              <c:f>Sheet10!$C$2:$C$28</c:f>
              <c:numCache>
                <c:formatCode>General</c:formatCode>
                <c:ptCount val="27"/>
                <c:pt idx="0" formatCode="#,##0">
                  <c:v>2600</c:v>
                </c:pt>
                <c:pt idx="1">
                  <c:v>0</c:v>
                </c:pt>
                <c:pt idx="2">
                  <c:v>2500</c:v>
                </c:pt>
                <c:pt idx="3">
                  <c:v>0</c:v>
                </c:pt>
                <c:pt idx="4">
                  <c:v>24</c:v>
                </c:pt>
                <c:pt idx="5">
                  <c:v>100</c:v>
                </c:pt>
                <c:pt idx="6" formatCode="#,##0">
                  <c:v>91500</c:v>
                </c:pt>
                <c:pt idx="7">
                  <c:v>1000</c:v>
                </c:pt>
                <c:pt idx="8" formatCode="#,##0">
                  <c:v>5000</c:v>
                </c:pt>
                <c:pt idx="9">
                  <c:v>0</c:v>
                </c:pt>
                <c:pt idx="10">
                  <c:v>4000</c:v>
                </c:pt>
                <c:pt idx="11">
                  <c:v>0</c:v>
                </c:pt>
                <c:pt idx="12">
                  <c:v>300</c:v>
                </c:pt>
                <c:pt idx="13" formatCode="#,##0">
                  <c:v>39000</c:v>
                </c:pt>
                <c:pt idx="14">
                  <c:v>500</c:v>
                </c:pt>
                <c:pt idx="15" formatCode="#,##0">
                  <c:v>11000</c:v>
                </c:pt>
                <c:pt idx="16">
                  <c:v>0</c:v>
                </c:pt>
                <c:pt idx="17">
                  <c:v>48</c:v>
                </c:pt>
                <c:pt idx="18">
                  <c:v>30</c:v>
                </c:pt>
                <c:pt idx="19" formatCode="#,##0">
                  <c:v>11000</c:v>
                </c:pt>
                <c:pt idx="20">
                  <c:v>7500</c:v>
                </c:pt>
                <c:pt idx="21" formatCode="#,##0">
                  <c:v>200000</c:v>
                </c:pt>
                <c:pt idx="22" formatCode="#,##0">
                  <c:v>10300</c:v>
                </c:pt>
                <c:pt idx="23" formatCode="#,##0">
                  <c:v>1200</c:v>
                </c:pt>
                <c:pt idx="24" formatCode="#,##0">
                  <c:v>15000</c:v>
                </c:pt>
                <c:pt idx="25" formatCode="#,##0">
                  <c:v>1500</c:v>
                </c:pt>
                <c:pt idx="26" formatCode="#,##0">
                  <c:v>20010</c:v>
                </c:pt>
              </c:numCache>
            </c:numRef>
          </c:val>
          <c:extLst>
            <c:ext xmlns:c16="http://schemas.microsoft.com/office/drawing/2014/chart" uri="{C3380CC4-5D6E-409C-BE32-E72D297353CC}">
              <c16:uniqueId val="{00000001-AE50-4345-A4A9-997D51FA04CE}"/>
            </c:ext>
          </c:extLst>
        </c:ser>
        <c:dLbls>
          <c:dLblPos val="outEnd"/>
          <c:showLegendKey val="0"/>
          <c:showVal val="1"/>
          <c:showCatName val="0"/>
          <c:showSerName val="0"/>
          <c:showPercent val="0"/>
          <c:showBubbleSize val="0"/>
        </c:dLbls>
        <c:gapWidth val="182"/>
        <c:axId val="467684664"/>
        <c:axId val="467684336"/>
      </c:barChart>
      <c:catAx>
        <c:axId val="467684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684336"/>
        <c:crosses val="autoZero"/>
        <c:auto val="1"/>
        <c:lblAlgn val="ctr"/>
        <c:lblOffset val="100"/>
        <c:noMultiLvlLbl val="0"/>
      </c:catAx>
      <c:valAx>
        <c:axId val="4676843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684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Condiții de înscriere pentru independenți</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Sheet6!$F$1</c:f>
              <c:strCache>
                <c:ptCount val="1"/>
                <c:pt idx="0">
                  <c:v>Suma (euro)</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Sheet6!$E$2:$E$10</c:f>
              <c:strCache>
                <c:ptCount val="9"/>
                <c:pt idx="0">
                  <c:v>Austria</c:v>
                </c:pt>
                <c:pt idx="1">
                  <c:v>Bulgaria</c:v>
                </c:pt>
                <c:pt idx="2">
                  <c:v>Cipru</c:v>
                </c:pt>
                <c:pt idx="3">
                  <c:v>Estonia</c:v>
                </c:pt>
                <c:pt idx="4">
                  <c:v>Irlanda</c:v>
                </c:pt>
                <c:pt idx="5">
                  <c:v>Luxemburg</c:v>
                </c:pt>
                <c:pt idx="6">
                  <c:v>Malta</c:v>
                </c:pt>
                <c:pt idx="7">
                  <c:v>Olanda</c:v>
                </c:pt>
                <c:pt idx="8">
                  <c:v>Romania</c:v>
                </c:pt>
              </c:strCache>
            </c:strRef>
          </c:cat>
          <c:val>
            <c:numRef>
              <c:f>Sheet6!$F$2:$F$10</c:f>
              <c:numCache>
                <c:formatCode>General</c:formatCode>
                <c:ptCount val="9"/>
                <c:pt idx="0" formatCode="#,##0">
                  <c:v>3600</c:v>
                </c:pt>
                <c:pt idx="1">
                  <c:v>50</c:v>
                </c:pt>
                <c:pt idx="2">
                  <c:v>500</c:v>
                </c:pt>
                <c:pt idx="3" formatCode="#,##0">
                  <c:v>2700</c:v>
                </c:pt>
                <c:pt idx="4">
                  <c:v>1800</c:v>
                </c:pt>
                <c:pt idx="5">
                  <c:v>0</c:v>
                </c:pt>
                <c:pt idx="6">
                  <c:v>90</c:v>
                </c:pt>
                <c:pt idx="7" formatCode="#,##0">
                  <c:v>11250</c:v>
                </c:pt>
                <c:pt idx="8">
                  <c:v>0</c:v>
                </c:pt>
              </c:numCache>
            </c:numRef>
          </c:val>
          <c:extLst>
            <c:ext xmlns:c16="http://schemas.microsoft.com/office/drawing/2014/chart" uri="{C3380CC4-5D6E-409C-BE32-E72D297353CC}">
              <c16:uniqueId val="{00000000-4079-44AA-A1DF-1CAF983EE47D}"/>
            </c:ext>
          </c:extLst>
        </c:ser>
        <c:ser>
          <c:idx val="1"/>
          <c:order val="1"/>
          <c:tx>
            <c:strRef>
              <c:f>Sheet6!$G$1</c:f>
              <c:strCache>
                <c:ptCount val="1"/>
                <c:pt idx="0">
                  <c:v>nr. semnături</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Sheet6!$E$2:$E$10</c:f>
              <c:strCache>
                <c:ptCount val="9"/>
                <c:pt idx="0">
                  <c:v>Austria</c:v>
                </c:pt>
                <c:pt idx="1">
                  <c:v>Bulgaria</c:v>
                </c:pt>
                <c:pt idx="2">
                  <c:v>Cipru</c:v>
                </c:pt>
                <c:pt idx="3">
                  <c:v>Estonia</c:v>
                </c:pt>
                <c:pt idx="4">
                  <c:v>Irlanda</c:v>
                </c:pt>
                <c:pt idx="5">
                  <c:v>Luxemburg</c:v>
                </c:pt>
                <c:pt idx="6">
                  <c:v>Malta</c:v>
                </c:pt>
                <c:pt idx="7">
                  <c:v>Olanda</c:v>
                </c:pt>
                <c:pt idx="8">
                  <c:v>Romania</c:v>
                </c:pt>
              </c:strCache>
            </c:strRef>
          </c:cat>
          <c:val>
            <c:numRef>
              <c:f>Sheet6!$G$2:$G$10</c:f>
              <c:numCache>
                <c:formatCode>#,##0</c:formatCode>
                <c:ptCount val="9"/>
                <c:pt idx="0">
                  <c:v>2600</c:v>
                </c:pt>
                <c:pt idx="1">
                  <c:v>2500</c:v>
                </c:pt>
                <c:pt idx="2" formatCode="General">
                  <c:v>4</c:v>
                </c:pt>
                <c:pt idx="3" formatCode="General">
                  <c:v>0</c:v>
                </c:pt>
                <c:pt idx="4" formatCode="General">
                  <c:v>60</c:v>
                </c:pt>
                <c:pt idx="5" formatCode="General">
                  <c:v>250</c:v>
                </c:pt>
                <c:pt idx="6" formatCode="General">
                  <c:v>4</c:v>
                </c:pt>
                <c:pt idx="7" formatCode="General">
                  <c:v>30</c:v>
                </c:pt>
                <c:pt idx="8">
                  <c:v>100000</c:v>
                </c:pt>
              </c:numCache>
            </c:numRef>
          </c:val>
          <c:extLst>
            <c:ext xmlns:c16="http://schemas.microsoft.com/office/drawing/2014/chart" uri="{C3380CC4-5D6E-409C-BE32-E72D297353CC}">
              <c16:uniqueId val="{00000001-4079-44AA-A1DF-1CAF983EE47D}"/>
            </c:ext>
          </c:extLst>
        </c:ser>
        <c:dLbls>
          <c:dLblPos val="outEnd"/>
          <c:showLegendKey val="0"/>
          <c:showVal val="1"/>
          <c:showCatName val="0"/>
          <c:showSerName val="0"/>
          <c:showPercent val="0"/>
          <c:showBubbleSize val="0"/>
        </c:dLbls>
        <c:gapWidth val="182"/>
        <c:axId val="684178928"/>
        <c:axId val="684178600"/>
      </c:barChart>
      <c:catAx>
        <c:axId val="684178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178600"/>
        <c:crosses val="autoZero"/>
        <c:auto val="1"/>
        <c:lblAlgn val="ctr"/>
        <c:lblOffset val="100"/>
        <c:noMultiLvlLbl val="0"/>
      </c:catAx>
      <c:valAx>
        <c:axId val="684178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17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Sheet9!$L$1</c:f>
              <c:strCache>
                <c:ptCount val="1"/>
                <c:pt idx="0">
                  <c:v>Suma (euro)</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Sheet9!$K$2:$K$8</c:f>
              <c:strCache>
                <c:ptCount val="7"/>
                <c:pt idx="0">
                  <c:v>Croația</c:v>
                </c:pt>
                <c:pt idx="1">
                  <c:v>Finlanda</c:v>
                </c:pt>
                <c:pt idx="2">
                  <c:v>Italia</c:v>
                </c:pt>
                <c:pt idx="3">
                  <c:v>Lituania</c:v>
                </c:pt>
                <c:pt idx="4">
                  <c:v>Polonia</c:v>
                </c:pt>
                <c:pt idx="5">
                  <c:v>Slovenia</c:v>
                </c:pt>
                <c:pt idx="6">
                  <c:v>Spania</c:v>
                </c:pt>
              </c:strCache>
            </c:strRef>
          </c:cat>
          <c:val>
            <c:numRef>
              <c:f>Sheet9!$L$2:$L$8</c:f>
              <c:numCache>
                <c:formatCode>General</c:formatCode>
                <c:ptCount val="7"/>
                <c:pt idx="0">
                  <c:v>0</c:v>
                </c:pt>
                <c:pt idx="1">
                  <c:v>0</c:v>
                </c:pt>
                <c:pt idx="2">
                  <c:v>0</c:v>
                </c:pt>
                <c:pt idx="3" formatCode="#,##0">
                  <c:v>9350</c:v>
                </c:pt>
                <c:pt idx="4">
                  <c:v>0</c:v>
                </c:pt>
                <c:pt idx="5">
                  <c:v>0</c:v>
                </c:pt>
                <c:pt idx="6">
                  <c:v>0</c:v>
                </c:pt>
              </c:numCache>
            </c:numRef>
          </c:val>
          <c:extLst>
            <c:ext xmlns:c16="http://schemas.microsoft.com/office/drawing/2014/chart" uri="{C3380CC4-5D6E-409C-BE32-E72D297353CC}">
              <c16:uniqueId val="{00000000-0DA0-492A-BC27-6BB5CCC80FA7}"/>
            </c:ext>
          </c:extLst>
        </c:ser>
        <c:ser>
          <c:idx val="1"/>
          <c:order val="1"/>
          <c:tx>
            <c:strRef>
              <c:f>Sheet9!$M$1</c:f>
              <c:strCache>
                <c:ptCount val="1"/>
                <c:pt idx="0">
                  <c:v>nr. semnături</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Sheet9!$K$2:$K$8</c:f>
              <c:strCache>
                <c:ptCount val="7"/>
                <c:pt idx="0">
                  <c:v>Croația</c:v>
                </c:pt>
                <c:pt idx="1">
                  <c:v>Finlanda</c:v>
                </c:pt>
                <c:pt idx="2">
                  <c:v>Italia</c:v>
                </c:pt>
                <c:pt idx="3">
                  <c:v>Lituania</c:v>
                </c:pt>
                <c:pt idx="4">
                  <c:v>Polonia</c:v>
                </c:pt>
                <c:pt idx="5">
                  <c:v>Slovenia</c:v>
                </c:pt>
                <c:pt idx="6">
                  <c:v>Spania</c:v>
                </c:pt>
              </c:strCache>
            </c:strRef>
          </c:cat>
          <c:val>
            <c:numRef>
              <c:f>Sheet9!$M$2:$M$8</c:f>
              <c:numCache>
                <c:formatCode>#,##0</c:formatCode>
                <c:ptCount val="7"/>
                <c:pt idx="0">
                  <c:v>5000</c:v>
                </c:pt>
                <c:pt idx="1">
                  <c:v>2000</c:v>
                </c:pt>
                <c:pt idx="2">
                  <c:v>35000</c:v>
                </c:pt>
                <c:pt idx="3">
                  <c:v>10000</c:v>
                </c:pt>
                <c:pt idx="4">
                  <c:v>11000</c:v>
                </c:pt>
                <c:pt idx="5">
                  <c:v>3000</c:v>
                </c:pt>
                <c:pt idx="6">
                  <c:v>15000</c:v>
                </c:pt>
              </c:numCache>
            </c:numRef>
          </c:val>
          <c:extLst>
            <c:ext xmlns:c16="http://schemas.microsoft.com/office/drawing/2014/chart" uri="{C3380CC4-5D6E-409C-BE32-E72D297353CC}">
              <c16:uniqueId val="{00000001-0DA0-492A-BC27-6BB5CCC80FA7}"/>
            </c:ext>
          </c:extLst>
        </c:ser>
        <c:dLbls>
          <c:dLblPos val="outEnd"/>
          <c:showLegendKey val="0"/>
          <c:showVal val="1"/>
          <c:showCatName val="0"/>
          <c:showSerName val="0"/>
          <c:showPercent val="0"/>
          <c:showBubbleSize val="0"/>
        </c:dLbls>
        <c:gapWidth val="219"/>
        <c:axId val="486052000"/>
        <c:axId val="486050360"/>
      </c:barChart>
      <c:catAx>
        <c:axId val="486052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050360"/>
        <c:crosses val="autoZero"/>
        <c:auto val="1"/>
        <c:lblAlgn val="ctr"/>
        <c:lblOffset val="100"/>
        <c:noMultiLvlLbl val="0"/>
      </c:catAx>
      <c:valAx>
        <c:axId val="486050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0520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E03B-C0C5-411A-9DFC-A6ED58CA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37164</TotalTime>
  <Pages>1</Pages>
  <Words>9668</Words>
  <Characters>55108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951</cp:revision>
  <dcterms:created xsi:type="dcterms:W3CDTF">2019-04-24T06:28:00Z</dcterms:created>
  <dcterms:modified xsi:type="dcterms:W3CDTF">2019-06-02T13:15:00Z</dcterms:modified>
</cp:coreProperties>
</file>